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outlineLvl w:val="2"/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line="580" w:lineRule="exact"/>
        <w:outlineLvl w:val="2"/>
        <w:rPr>
          <w:rFonts w:hint="default" w:ascii="黑体" w:hAnsi="黑体" w:eastAsia="黑体"/>
          <w:spacing w:val="-2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第一批滨海湾国际开放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创新创业社区专项资金新入驻租金补贴拟资助名单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和资金安排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adjustRightInd w:val="0"/>
        <w:snapToGrid w:val="0"/>
        <w:spacing w:line="580" w:lineRule="exact"/>
        <w:jc w:val="right"/>
        <w:rPr>
          <w:b w:val="0"/>
          <w:bCs w:val="0"/>
          <w:kern w:val="0"/>
          <w:sz w:val="32"/>
          <w:szCs w:val="32"/>
        </w:rPr>
      </w:pPr>
      <w:r>
        <w:rPr>
          <w:rFonts w:hint="eastAsia"/>
          <w:b w:val="0"/>
          <w:bCs w:val="0"/>
          <w:kern w:val="0"/>
          <w:sz w:val="32"/>
          <w:szCs w:val="32"/>
        </w:rPr>
        <w:t>单位：元</w:t>
      </w:r>
    </w:p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57"/>
        <w:gridCol w:w="1441"/>
        <w:gridCol w:w="1495"/>
        <w:gridCol w:w="263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补贴面积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申请补贴时间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拟资助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科技型企业项目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新入驻租金补贴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立乔建设集团有限公司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305.03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48,804.80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创始新能源技术（东莞）有限公司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144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年9月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11,520.00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科技服务项目新入驻租金补贴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东莞群欣技术研发有限公司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140.18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年9月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-202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11,214.40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09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71,539.20</w:t>
            </w:r>
          </w:p>
        </w:tc>
      </w:tr>
    </w:tbl>
    <w:p>
      <w:pPr>
        <w:spacing w:line="20" w:lineRule="exact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87" w:bottom="1985" w:left="1588" w:header="2098" w:footer="1304" w:gutter="0"/>
      <w:pgNumType w:fmt="decimal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2U2YjA1NzgyNjJiNzJkYTk3Zjk3MGI0NzczYmQifQ=="/>
  </w:docVars>
  <w:rsids>
    <w:rsidRoot w:val="69D82764"/>
    <w:rsid w:val="061C6E37"/>
    <w:rsid w:val="12804AC3"/>
    <w:rsid w:val="24412907"/>
    <w:rsid w:val="350C2718"/>
    <w:rsid w:val="69D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306</Characters>
  <Lines>0</Lines>
  <Paragraphs>0</Paragraphs>
  <TotalTime>8</TotalTime>
  <ScaleCrop>false</ScaleCrop>
  <LinksUpToDate>false</LinksUpToDate>
  <CharactersWithSpaces>324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2024-04-09T02:44:00Z</dcterms:created>
  <dc:creator>演示人</dc:creator>
  <cp:lastModifiedBy>Lenovo</cp:lastModifiedBy>
  <dcterms:modified xsi:type="dcterms:W3CDTF">2024-05-28T07:58:03Z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E7808D116ACE47B4B1034F0197F4C9A4_13</vt:lpwstr>
  </property>
</Properties>
</file>