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黑体" w:cs="Times New Roman"/>
          <w:b w:val="0"/>
          <w:bCs/>
          <w:color w:val="auto"/>
          <w:sz w:val="32"/>
          <w:szCs w:val="32"/>
          <w:highlight w:val="none"/>
          <w:shd w:val="clear" w:color="auto" w:fill="FFFFFF"/>
          <w:lang w:val="en-US" w:eastAsia="zh-CN"/>
        </w:rPr>
      </w:pPr>
      <w:r>
        <w:rPr>
          <w:rFonts w:hint="default" w:ascii="Times New Roman" w:hAnsi="Times New Roman" w:eastAsia="黑体" w:cs="Times New Roman"/>
          <w:b w:val="0"/>
          <w:bCs/>
          <w:color w:val="auto"/>
          <w:sz w:val="32"/>
          <w:szCs w:val="32"/>
          <w:highlight w:val="none"/>
          <w:shd w:val="clear" w:color="auto" w:fill="FFFFFF"/>
          <w:lang w:val="en-US" w:eastAsia="zh-CN"/>
        </w:rPr>
        <w:t>附件</w:t>
      </w:r>
      <w:r>
        <w:rPr>
          <w:rFonts w:hint="eastAsia" w:ascii="Times New Roman" w:hAnsi="Times New Roman" w:eastAsia="黑体" w:cs="Times New Roman"/>
          <w:b w:val="0"/>
          <w:bCs/>
          <w:color w:val="auto"/>
          <w:sz w:val="32"/>
          <w:szCs w:val="32"/>
          <w:highlight w:val="none"/>
          <w:shd w:val="clear" w:color="auto" w:fill="FFFFFF"/>
          <w:lang w:val="en-US" w:eastAsia="zh-CN"/>
        </w:rPr>
        <w:t>1</w:t>
      </w:r>
    </w:p>
    <w:p>
      <w:pPr>
        <w:keepNext w:val="0"/>
        <w:keepLines w:val="0"/>
        <w:pageBreakBefore w:val="0"/>
        <w:kinsoku/>
        <w:wordWrap/>
        <w:overflowPunct/>
        <w:topLinePunct w:val="0"/>
        <w:autoSpaceDE/>
        <w:autoSpaceDN/>
        <w:bidi w:val="0"/>
        <w:adjustRightInd/>
        <w:snapToGrid/>
        <w:spacing w:line="560" w:lineRule="exact"/>
        <w:textAlignment w:val="auto"/>
        <w:rPr>
          <w:rFonts w:hint="default"/>
          <w:lang w:val="en-US" w:eastAsia="zh-CN"/>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小标宋简体"/>
          <w:b w:val="0"/>
          <w:bCs/>
          <w:color w:val="auto"/>
          <w:sz w:val="44"/>
          <w:szCs w:val="44"/>
          <w:highlight w:val="none"/>
          <w:shd w:val="clear" w:color="auto" w:fill="FFFFFF"/>
        </w:rPr>
      </w:pPr>
      <w:r>
        <w:rPr>
          <w:rFonts w:hint="default" w:ascii="Times New Roman" w:hAnsi="Times New Roman" w:eastAsia="方正小标宋简体"/>
          <w:b w:val="0"/>
          <w:bCs/>
          <w:color w:val="auto"/>
          <w:sz w:val="44"/>
          <w:szCs w:val="44"/>
          <w:highlight w:val="none"/>
          <w:shd w:val="clear" w:color="auto" w:fill="FFFFFF"/>
        </w:rPr>
        <w:t>东莞滨海湾新区促进经济高质量发展</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方正小标宋简体"/>
          <w:b w:val="0"/>
          <w:bCs/>
          <w:color w:val="auto"/>
          <w:sz w:val="44"/>
          <w:szCs w:val="44"/>
          <w:highlight w:val="none"/>
          <w:shd w:val="clear" w:color="auto" w:fill="FFFFFF"/>
          <w:lang w:eastAsia="zh-CN"/>
        </w:rPr>
      </w:pPr>
      <w:r>
        <w:rPr>
          <w:rFonts w:hint="default" w:ascii="Times New Roman" w:hAnsi="Times New Roman" w:eastAsia="方正小标宋简体"/>
          <w:b w:val="0"/>
          <w:bCs/>
          <w:color w:val="auto"/>
          <w:sz w:val="44"/>
          <w:szCs w:val="44"/>
          <w:highlight w:val="none"/>
          <w:shd w:val="clear" w:color="auto" w:fill="FFFFFF"/>
        </w:rPr>
        <w:t>扶持办法</w:t>
      </w:r>
      <w:r>
        <w:rPr>
          <w:rFonts w:hint="eastAsia" w:ascii="Times New Roman" w:hAnsi="Times New Roman" w:eastAsia="方正小标宋简体"/>
          <w:b w:val="0"/>
          <w:bCs/>
          <w:color w:val="auto"/>
          <w:sz w:val="44"/>
          <w:szCs w:val="44"/>
          <w:highlight w:val="none"/>
          <w:shd w:val="clear" w:color="auto" w:fill="FFFFFF"/>
          <w:lang w:eastAsia="zh-CN"/>
        </w:rPr>
        <w:t>（</w:t>
      </w:r>
      <w:r>
        <w:rPr>
          <w:rFonts w:hint="eastAsia" w:ascii="Times New Roman" w:hAnsi="Times New Roman" w:eastAsia="方正小标宋简体"/>
          <w:b w:val="0"/>
          <w:bCs/>
          <w:color w:val="auto"/>
          <w:sz w:val="44"/>
          <w:szCs w:val="44"/>
          <w:highlight w:val="none"/>
          <w:shd w:val="clear" w:color="auto" w:fill="FFFFFF"/>
          <w:lang w:val="en-US" w:eastAsia="zh-CN"/>
        </w:rPr>
        <w:t>2024年修订</w:t>
      </w:r>
      <w:r>
        <w:rPr>
          <w:rFonts w:hint="eastAsia" w:ascii="Times New Roman" w:hAnsi="Times New Roman" w:eastAsia="方正小标宋简体"/>
          <w:b w:val="0"/>
          <w:bCs/>
          <w:color w:val="auto"/>
          <w:sz w:val="44"/>
          <w:szCs w:val="44"/>
          <w:highlight w:val="none"/>
          <w:shd w:val="clear" w:color="auto" w:fill="FFFFFF"/>
          <w:lang w:eastAsia="zh-CN"/>
        </w:rPr>
        <w:t>）</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楷体_GB2312" w:hAnsi="楷体_GB2312" w:eastAsia="楷体_GB2312" w:cs="楷体_GB2312"/>
          <w:color w:val="auto"/>
          <w:sz w:val="32"/>
          <w:szCs w:val="32"/>
          <w:highlight w:val="none"/>
          <w:shd w:val="clear" w:color="auto" w:fill="FFFFFF"/>
          <w:lang w:eastAsia="zh-CN"/>
        </w:rPr>
      </w:pPr>
      <w:r>
        <w:rPr>
          <w:rFonts w:hint="eastAsia" w:ascii="楷体_GB2312" w:hAnsi="楷体_GB2312" w:eastAsia="楷体_GB2312" w:cs="楷体_GB2312"/>
          <w:color w:val="auto"/>
          <w:sz w:val="32"/>
          <w:szCs w:val="32"/>
          <w:highlight w:val="none"/>
          <w:shd w:val="clear" w:color="auto" w:fill="FFFFFF"/>
          <w:lang w:eastAsia="zh-CN"/>
        </w:rPr>
        <w:t>（</w:t>
      </w:r>
      <w:r>
        <w:rPr>
          <w:rFonts w:hint="eastAsia" w:ascii="楷体_GB2312" w:hAnsi="楷体_GB2312" w:eastAsia="楷体_GB2312" w:cs="楷体_GB2312"/>
          <w:color w:val="auto"/>
          <w:sz w:val="32"/>
          <w:szCs w:val="32"/>
          <w:highlight w:val="none"/>
          <w:shd w:val="clear" w:color="auto" w:fill="FFFFFF"/>
          <w:lang w:val="en-US" w:eastAsia="zh-CN"/>
        </w:rPr>
        <w:t>征求意见稿</w:t>
      </w:r>
      <w:r>
        <w:rPr>
          <w:rFonts w:hint="eastAsia" w:ascii="楷体_GB2312" w:hAnsi="楷体_GB2312" w:eastAsia="楷体_GB2312" w:cs="楷体_GB2312"/>
          <w:color w:val="auto"/>
          <w:sz w:val="32"/>
          <w:szCs w:val="32"/>
          <w:highlight w:val="none"/>
          <w:shd w:val="clear" w:color="auto" w:fill="FFFFFF"/>
          <w:lang w:eastAsia="zh-CN"/>
        </w:rPr>
        <w:t>）</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黑体"/>
          <w:color w:val="auto"/>
          <w:sz w:val="32"/>
          <w:szCs w:val="32"/>
          <w:highlight w:val="none"/>
          <w:shd w:val="clear" w:color="auto" w:fill="FFFFFF"/>
        </w:rPr>
      </w:pP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仿宋_GB2312"/>
          <w:color w:val="auto"/>
          <w:sz w:val="32"/>
          <w:szCs w:val="32"/>
          <w:highlight w:val="none"/>
          <w:shd w:val="clear" w:color="auto" w:fill="FFFFFF"/>
        </w:rPr>
      </w:pPr>
      <w:r>
        <w:rPr>
          <w:rFonts w:ascii="Times New Roman" w:hAnsi="Times New Roman" w:eastAsia="黑体"/>
          <w:color w:val="auto"/>
          <w:sz w:val="32"/>
          <w:szCs w:val="32"/>
          <w:highlight w:val="none"/>
          <w:shd w:val="clear" w:color="auto" w:fill="FFFFFF"/>
        </w:rPr>
        <w:t>第一条</w:t>
      </w:r>
      <w:r>
        <w:rPr>
          <w:rFonts w:ascii="Times New Roman" w:hAnsi="Times New Roman" w:eastAsia="仿宋_GB2312"/>
          <w:color w:val="auto"/>
          <w:sz w:val="32"/>
          <w:szCs w:val="32"/>
          <w:highlight w:val="none"/>
          <w:shd w:val="clear" w:color="auto" w:fill="FFFFFF"/>
        </w:rPr>
        <w:t xml:space="preserve"> </w:t>
      </w:r>
      <w:bookmarkStart w:id="0" w:name="_GoBack"/>
      <w:bookmarkEnd w:id="0"/>
      <w:r>
        <w:rPr>
          <w:rFonts w:hint="eastAsia" w:ascii="Times New Roman" w:hAnsi="Times New Roman" w:eastAsia="仿宋_GB2312"/>
          <w:color w:val="auto"/>
          <w:sz w:val="32"/>
          <w:szCs w:val="32"/>
          <w:highlight w:val="none"/>
          <w:shd w:val="clear" w:color="auto" w:fill="FFFFFF"/>
          <w:lang w:val="en-US" w:eastAsia="zh-CN"/>
        </w:rPr>
        <w:t>为</w:t>
      </w:r>
      <w:r>
        <w:rPr>
          <w:rFonts w:hint="eastAsia" w:ascii="Times New Roman" w:hAnsi="Times New Roman" w:eastAsia="仿宋_GB2312"/>
          <w:color w:val="auto"/>
          <w:sz w:val="32"/>
          <w:szCs w:val="32"/>
          <w:highlight w:val="none"/>
          <w:shd w:val="clear" w:color="auto" w:fill="FFFFFF"/>
        </w:rPr>
        <w:t>贯彻落实</w:t>
      </w:r>
      <w:r>
        <w:rPr>
          <w:rFonts w:hint="eastAsia" w:ascii="Times New Roman" w:hAnsi="Times New Roman" w:eastAsia="仿宋_GB2312"/>
          <w:color w:val="auto"/>
          <w:sz w:val="32"/>
          <w:szCs w:val="32"/>
          <w:highlight w:val="none"/>
          <w:shd w:val="clear" w:color="auto" w:fill="FFFFFF"/>
          <w:lang w:val="en-US" w:eastAsia="zh-CN"/>
        </w:rPr>
        <w:t>中央、</w:t>
      </w:r>
      <w:r>
        <w:rPr>
          <w:rFonts w:hint="eastAsia" w:ascii="Times New Roman" w:hAnsi="Times New Roman" w:eastAsia="仿宋_GB2312"/>
          <w:color w:val="auto"/>
          <w:sz w:val="32"/>
          <w:szCs w:val="32"/>
          <w:highlight w:val="none"/>
          <w:shd w:val="clear" w:color="auto" w:fill="FFFFFF"/>
        </w:rPr>
        <w:t>省</w:t>
      </w:r>
      <w:r>
        <w:rPr>
          <w:rFonts w:hint="eastAsia" w:ascii="Times New Roman" w:hAnsi="Times New Roman" w:eastAsia="仿宋_GB2312"/>
          <w:color w:val="auto"/>
          <w:sz w:val="32"/>
          <w:szCs w:val="32"/>
          <w:highlight w:val="none"/>
          <w:shd w:val="clear" w:color="auto" w:fill="FFFFFF"/>
          <w:lang w:eastAsia="zh-CN"/>
        </w:rPr>
        <w:t>、</w:t>
      </w:r>
      <w:r>
        <w:rPr>
          <w:rFonts w:hint="eastAsia" w:ascii="Times New Roman" w:hAnsi="Times New Roman" w:eastAsia="仿宋_GB2312"/>
          <w:color w:val="auto"/>
          <w:sz w:val="32"/>
          <w:szCs w:val="32"/>
          <w:highlight w:val="none"/>
          <w:shd w:val="clear" w:color="auto" w:fill="FFFFFF"/>
        </w:rPr>
        <w:t>市关于促进经济</w:t>
      </w:r>
      <w:r>
        <w:rPr>
          <w:rFonts w:hint="eastAsia" w:ascii="Times New Roman" w:hAnsi="Times New Roman" w:eastAsia="仿宋_GB2312"/>
          <w:color w:val="auto"/>
          <w:sz w:val="32"/>
          <w:szCs w:val="32"/>
          <w:highlight w:val="none"/>
          <w:shd w:val="clear" w:color="auto" w:fill="FFFFFF"/>
          <w:lang w:val="en-US" w:eastAsia="zh-CN"/>
        </w:rPr>
        <w:t>高</w:t>
      </w:r>
      <w:r>
        <w:rPr>
          <w:rFonts w:hint="eastAsia" w:ascii="Times New Roman" w:hAnsi="Times New Roman" w:eastAsia="仿宋_GB2312"/>
          <w:color w:val="auto"/>
          <w:sz w:val="32"/>
          <w:szCs w:val="32"/>
          <w:highlight w:val="none"/>
          <w:shd w:val="clear" w:color="auto" w:fill="FFFFFF"/>
        </w:rPr>
        <w:t>质量发展的</w:t>
      </w:r>
      <w:r>
        <w:rPr>
          <w:rFonts w:hint="eastAsia" w:ascii="Times New Roman" w:hAnsi="Times New Roman" w:eastAsia="仿宋_GB2312"/>
          <w:color w:val="auto"/>
          <w:sz w:val="32"/>
          <w:szCs w:val="32"/>
          <w:highlight w:val="none"/>
          <w:shd w:val="clear" w:color="auto" w:fill="FFFFFF"/>
          <w:lang w:val="en-US" w:eastAsia="zh-CN"/>
        </w:rPr>
        <w:t>决策</w:t>
      </w:r>
      <w:r>
        <w:rPr>
          <w:rFonts w:hint="eastAsia" w:ascii="Times New Roman" w:hAnsi="Times New Roman" w:eastAsia="仿宋_GB2312"/>
          <w:color w:val="auto"/>
          <w:sz w:val="32"/>
          <w:szCs w:val="32"/>
          <w:highlight w:val="none"/>
          <w:shd w:val="clear" w:color="auto" w:fill="FFFFFF"/>
        </w:rPr>
        <w:t>部署，牢牢</w:t>
      </w:r>
      <w:r>
        <w:rPr>
          <w:rFonts w:ascii="Times New Roman" w:hAnsi="Times New Roman" w:eastAsia="仿宋_GB2312"/>
          <w:color w:val="auto"/>
          <w:sz w:val="32"/>
          <w:szCs w:val="32"/>
          <w:highlight w:val="none"/>
          <w:shd w:val="clear" w:color="auto" w:fill="FFFFFF"/>
        </w:rPr>
        <w:t>把握“三区”叠加重大</w:t>
      </w:r>
      <w:r>
        <w:rPr>
          <w:rFonts w:hint="eastAsia" w:ascii="Times New Roman" w:hAnsi="Times New Roman" w:eastAsia="仿宋_GB2312"/>
          <w:color w:val="auto"/>
          <w:sz w:val="32"/>
          <w:szCs w:val="32"/>
          <w:highlight w:val="none"/>
          <w:shd w:val="clear" w:color="auto" w:fill="FFFFFF"/>
          <w:lang w:val="en-US" w:eastAsia="zh-CN"/>
        </w:rPr>
        <w:t>历史</w:t>
      </w:r>
      <w:r>
        <w:rPr>
          <w:rFonts w:ascii="Times New Roman" w:hAnsi="Times New Roman" w:eastAsia="仿宋_GB2312"/>
          <w:color w:val="auto"/>
          <w:sz w:val="32"/>
          <w:szCs w:val="32"/>
          <w:highlight w:val="none"/>
          <w:shd w:val="clear" w:color="auto" w:fill="FFFFFF"/>
        </w:rPr>
        <w:t>机遇，精准扶持企业发展，鼓励企业通过推进技术改造和智能化改造、加强科技创新、</w:t>
      </w:r>
      <w:r>
        <w:rPr>
          <w:rFonts w:hint="eastAsia" w:ascii="Times New Roman" w:hAnsi="Times New Roman" w:eastAsia="仿宋_GB2312"/>
          <w:color w:val="auto"/>
          <w:sz w:val="32"/>
          <w:szCs w:val="32"/>
          <w:highlight w:val="none"/>
          <w:shd w:val="clear" w:color="auto" w:fill="FFFFFF"/>
        </w:rPr>
        <w:t>主动参与技术标准制定、提高产品质量</w:t>
      </w:r>
      <w:r>
        <w:rPr>
          <w:rFonts w:ascii="Times New Roman" w:hAnsi="Times New Roman" w:eastAsia="仿宋_GB2312"/>
          <w:color w:val="auto"/>
          <w:sz w:val="32"/>
          <w:szCs w:val="32"/>
          <w:highlight w:val="none"/>
          <w:shd w:val="clear" w:color="auto" w:fill="FFFFFF"/>
        </w:rPr>
        <w:t>等方式提升核心竞争力，加快产业集聚，促进</w:t>
      </w:r>
      <w:r>
        <w:rPr>
          <w:rFonts w:hint="eastAsia" w:ascii="Times New Roman" w:hAnsi="Times New Roman" w:eastAsia="仿宋_GB2312"/>
          <w:color w:val="auto"/>
          <w:sz w:val="32"/>
          <w:szCs w:val="32"/>
          <w:highlight w:val="none"/>
          <w:shd w:val="clear" w:color="auto" w:fill="FFFFFF"/>
        </w:rPr>
        <w:t>东莞</w:t>
      </w:r>
      <w:r>
        <w:rPr>
          <w:rFonts w:ascii="Times New Roman" w:hAnsi="Times New Roman" w:eastAsia="仿宋_GB2312"/>
          <w:color w:val="auto"/>
          <w:sz w:val="32"/>
          <w:szCs w:val="32"/>
          <w:highlight w:val="none"/>
          <w:shd w:val="clear" w:color="auto" w:fill="FFFFFF"/>
        </w:rPr>
        <w:t>滨海湾新区（以下简称“新区”）经济高质量发展，结合实际，制定本</w:t>
      </w:r>
      <w:r>
        <w:rPr>
          <w:rFonts w:hint="eastAsia" w:ascii="Times New Roman" w:hAnsi="Times New Roman" w:eastAsia="仿宋_GB2312"/>
          <w:color w:val="auto"/>
          <w:sz w:val="32"/>
          <w:szCs w:val="32"/>
          <w:highlight w:val="none"/>
          <w:shd w:val="clear" w:color="auto" w:fill="FFFFFF"/>
        </w:rPr>
        <w:t>办法</w:t>
      </w:r>
      <w:r>
        <w:rPr>
          <w:rFonts w:ascii="Times New Roman" w:hAnsi="Times New Roman" w:eastAsia="仿宋_GB2312"/>
          <w:color w:val="auto"/>
          <w:sz w:val="32"/>
          <w:szCs w:val="32"/>
          <w:highlight w:val="none"/>
          <w:shd w:val="clear" w:color="auto" w:fill="FFFFFF"/>
        </w:rPr>
        <w:t>。</w:t>
      </w:r>
    </w:p>
    <w:p>
      <w:pPr>
        <w:pStyle w:val="11"/>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仿宋_GB2312"/>
          <w:color w:val="auto"/>
          <w:sz w:val="32"/>
          <w:szCs w:val="32"/>
          <w:highlight w:val="none"/>
          <w:shd w:val="clear" w:color="auto" w:fill="FFFFFF"/>
        </w:rPr>
      </w:pPr>
      <w:r>
        <w:rPr>
          <w:rFonts w:ascii="Times New Roman" w:hAnsi="Times New Roman" w:eastAsia="黑体"/>
          <w:color w:val="auto"/>
          <w:sz w:val="32"/>
          <w:szCs w:val="32"/>
          <w:highlight w:val="none"/>
          <w:shd w:val="clear" w:color="auto" w:fill="FFFFFF"/>
        </w:rPr>
        <w:t>第二条</w:t>
      </w:r>
      <w:r>
        <w:rPr>
          <w:rFonts w:ascii="Times New Roman" w:hAnsi="Times New Roman" w:eastAsia="仿宋_GB2312"/>
          <w:color w:val="auto"/>
          <w:sz w:val="32"/>
          <w:szCs w:val="32"/>
          <w:highlight w:val="none"/>
          <w:shd w:val="clear" w:color="auto" w:fill="FFFFFF"/>
        </w:rPr>
        <w:t xml:space="preserve"> 本办法适用于符合东莞市产业发展导向，在新区工商注册、缴纳主要税源，</w:t>
      </w:r>
      <w:r>
        <w:rPr>
          <w:rFonts w:hint="eastAsia" w:ascii="Times New Roman" w:hAnsi="Times New Roman" w:eastAsia="仿宋_GB2312"/>
          <w:color w:val="auto"/>
          <w:sz w:val="32"/>
          <w:szCs w:val="32"/>
          <w:highlight w:val="none"/>
          <w:shd w:val="clear" w:color="auto" w:fill="FFFFFF"/>
        </w:rPr>
        <w:t>具有独立法人资格及健全财务制度，</w:t>
      </w:r>
      <w:r>
        <w:rPr>
          <w:rFonts w:ascii="Times New Roman" w:hAnsi="Times New Roman" w:eastAsia="仿宋_GB2312"/>
          <w:color w:val="auto"/>
          <w:sz w:val="32"/>
          <w:szCs w:val="32"/>
          <w:highlight w:val="none"/>
          <w:shd w:val="clear" w:color="auto" w:fill="FFFFFF"/>
        </w:rPr>
        <w:t>实行独立核算的企业法人机构。缴纳主要税源是指近12个月在新区缴纳税收占比50%（含）以上，如在新区注册未满12个月的以实际时间计算。</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仿宋_GB2312"/>
          <w:color w:val="auto"/>
          <w:sz w:val="32"/>
          <w:szCs w:val="32"/>
          <w:highlight w:val="none"/>
          <w:shd w:val="clear" w:color="auto" w:fill="FFFFFF"/>
        </w:rPr>
      </w:pPr>
      <w:r>
        <w:rPr>
          <w:rFonts w:hint="eastAsia" w:ascii="黑体" w:hAnsi="黑体" w:eastAsia="黑体" w:cs="黑体"/>
          <w:color w:val="auto"/>
          <w:sz w:val="32"/>
          <w:szCs w:val="32"/>
          <w:highlight w:val="none"/>
          <w:shd w:val="clear" w:color="auto" w:fill="FFFFFF"/>
        </w:rPr>
        <w:t xml:space="preserve">第三条 </w:t>
      </w:r>
      <w:r>
        <w:rPr>
          <w:rFonts w:hint="eastAsia" w:ascii="黑体" w:hAnsi="黑体" w:eastAsia="黑体" w:cs="黑体"/>
          <w:b/>
          <w:bCs/>
          <w:color w:val="auto"/>
          <w:sz w:val="32"/>
          <w:szCs w:val="32"/>
          <w:highlight w:val="none"/>
          <w:shd w:val="clear" w:color="auto" w:fill="FFFFFF"/>
        </w:rPr>
        <w:t>【</w:t>
      </w:r>
      <w:r>
        <w:rPr>
          <w:rFonts w:ascii="Times New Roman" w:hAnsi="Times New Roman" w:eastAsia="仿宋_GB2312"/>
          <w:b/>
          <w:bCs/>
          <w:color w:val="auto"/>
          <w:sz w:val="32"/>
          <w:szCs w:val="32"/>
          <w:highlight w:val="none"/>
          <w:shd w:val="clear" w:color="auto" w:fill="FFFFFF"/>
        </w:rPr>
        <w:t>鼓励企业技术改造和智能化改造</w:t>
      </w:r>
      <w:r>
        <w:rPr>
          <w:rFonts w:hint="eastAsia" w:ascii="黑体" w:hAnsi="黑体" w:eastAsia="黑体" w:cs="黑体"/>
          <w:b/>
          <w:bCs/>
          <w:color w:val="auto"/>
          <w:sz w:val="32"/>
          <w:szCs w:val="32"/>
          <w:highlight w:val="none"/>
          <w:shd w:val="clear" w:color="auto" w:fill="FFFFFF"/>
        </w:rPr>
        <w:t>】</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jc w:val="both"/>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（一）技术改造项目</w:t>
      </w:r>
      <w:r>
        <w:rPr>
          <w:rFonts w:hint="eastAsia" w:ascii="Times New Roman" w:hAnsi="Times New Roman" w:eastAsia="仿宋_GB2312"/>
          <w:color w:val="auto"/>
          <w:sz w:val="32"/>
          <w:szCs w:val="32"/>
          <w:highlight w:val="none"/>
          <w:lang w:val="en-US" w:eastAsia="zh-CN"/>
        </w:rPr>
        <w:t>认定</w:t>
      </w:r>
      <w:r>
        <w:rPr>
          <w:rFonts w:hint="eastAsia" w:ascii="Times New Roman" w:hAnsi="Times New Roman" w:eastAsia="仿宋_GB2312"/>
          <w:color w:val="auto"/>
          <w:sz w:val="32"/>
          <w:szCs w:val="32"/>
          <w:highlight w:val="none"/>
        </w:rPr>
        <w:t>奖励。</w:t>
      </w:r>
      <w:r>
        <w:rPr>
          <w:rFonts w:ascii="Times New Roman" w:hAnsi="Times New Roman" w:eastAsia="仿宋_GB2312"/>
          <w:color w:val="auto"/>
          <w:sz w:val="32"/>
          <w:szCs w:val="32"/>
          <w:highlight w:val="none"/>
        </w:rPr>
        <w:t>支持企业利用自动化生产设备进行技术改造升级，进一步减少企业生产用工总量，优化工艺技术流程，提高劳动生产率和产品优质率。对获得市</w:t>
      </w:r>
      <w:r>
        <w:rPr>
          <w:rFonts w:hint="eastAsia" w:ascii="Times New Roman" w:hAnsi="Times New Roman" w:eastAsia="仿宋_GB2312"/>
          <w:color w:val="auto"/>
          <w:sz w:val="32"/>
          <w:szCs w:val="32"/>
          <w:highlight w:val="none"/>
        </w:rPr>
        <w:t>工信局“技术改造专题</w:t>
      </w:r>
      <w:r>
        <w:rPr>
          <w:rFonts w:ascii="Times New Roman" w:hAnsi="Times New Roman" w:eastAsia="仿宋_GB2312"/>
          <w:color w:val="auto"/>
          <w:sz w:val="32"/>
          <w:szCs w:val="32"/>
          <w:highlight w:val="none"/>
        </w:rPr>
        <w:t>项目</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认定的企业，按照市财政资助金额</w:t>
      </w:r>
      <w:r>
        <w:rPr>
          <w:rFonts w:hint="eastAsia" w:ascii="Times New Roman" w:hAnsi="Times New Roman" w:eastAsia="仿宋_GB2312"/>
          <w:color w:val="auto"/>
          <w:sz w:val="32"/>
          <w:szCs w:val="32"/>
          <w:highlight w:val="none"/>
        </w:rPr>
        <w:t>不高于</w:t>
      </w:r>
      <w:r>
        <w:rPr>
          <w:rFonts w:ascii="Times New Roman" w:hAnsi="Times New Roman" w:eastAsia="仿宋_GB2312"/>
          <w:color w:val="auto"/>
          <w:sz w:val="32"/>
          <w:szCs w:val="32"/>
          <w:highlight w:val="none"/>
        </w:rPr>
        <w:t>1:0.5比例给予一次性配套奖励，每家企业</w:t>
      </w:r>
      <w:r>
        <w:rPr>
          <w:rFonts w:hint="eastAsia" w:ascii="Times New Roman" w:hAnsi="Times New Roman" w:eastAsia="仿宋_GB2312"/>
          <w:color w:val="auto"/>
          <w:sz w:val="32"/>
          <w:szCs w:val="32"/>
          <w:highlight w:val="none"/>
        </w:rPr>
        <w:t>最高奖励</w:t>
      </w:r>
      <w:r>
        <w:rPr>
          <w:rFonts w:ascii="Times New Roman" w:hAnsi="Times New Roman" w:eastAsia="仿宋_GB2312"/>
          <w:color w:val="auto"/>
          <w:sz w:val="32"/>
          <w:szCs w:val="32"/>
          <w:highlight w:val="none"/>
        </w:rPr>
        <w:t>100万元。</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jc w:val="both"/>
        <w:textAlignment w:val="auto"/>
        <w:rPr>
          <w:rFonts w:ascii="Times New Roman" w:hAnsi="Times New Roman" w:eastAsia="仿宋_GB2312"/>
          <w:color w:val="auto"/>
          <w:sz w:val="32"/>
          <w:szCs w:val="32"/>
          <w:highlight w:val="none"/>
        </w:rPr>
      </w:pPr>
      <w:r>
        <w:rPr>
          <w:rFonts w:ascii="Times New Roman" w:hAnsi="Times New Roman" w:eastAsia="仿宋_GB2312"/>
          <w:bCs/>
          <w:color w:val="auto"/>
          <w:sz w:val="32"/>
          <w:szCs w:val="32"/>
          <w:highlight w:val="none"/>
        </w:rPr>
        <w:t>（二）</w:t>
      </w:r>
      <w:r>
        <w:rPr>
          <w:rFonts w:ascii="Times New Roman" w:hAnsi="Times New Roman" w:eastAsia="仿宋_GB2312"/>
          <w:color w:val="auto"/>
          <w:sz w:val="32"/>
          <w:szCs w:val="32"/>
          <w:highlight w:val="none"/>
        </w:rPr>
        <w:t>智能</w:t>
      </w:r>
      <w:r>
        <w:rPr>
          <w:rFonts w:hint="eastAsia" w:ascii="Times New Roman" w:hAnsi="Times New Roman" w:eastAsia="仿宋_GB2312"/>
          <w:color w:val="auto"/>
          <w:sz w:val="32"/>
          <w:szCs w:val="32"/>
          <w:highlight w:val="none"/>
        </w:rPr>
        <w:t>制造项目</w:t>
      </w:r>
      <w:r>
        <w:rPr>
          <w:rFonts w:hint="eastAsia" w:ascii="Times New Roman" w:hAnsi="Times New Roman" w:eastAsia="仿宋_GB2312"/>
          <w:color w:val="auto"/>
          <w:sz w:val="32"/>
          <w:szCs w:val="32"/>
          <w:highlight w:val="none"/>
          <w:lang w:val="en-US" w:eastAsia="zh-CN"/>
        </w:rPr>
        <w:t>认定</w:t>
      </w:r>
      <w:r>
        <w:rPr>
          <w:rFonts w:ascii="Times New Roman" w:hAnsi="Times New Roman" w:eastAsia="仿宋_GB2312"/>
          <w:color w:val="auto"/>
          <w:sz w:val="32"/>
          <w:szCs w:val="32"/>
          <w:highlight w:val="none"/>
        </w:rPr>
        <w:t>奖励。</w:t>
      </w:r>
      <w:r>
        <w:rPr>
          <w:rFonts w:hint="eastAsia" w:ascii="Times New Roman" w:hAnsi="Times New Roman" w:eastAsia="仿宋_GB2312"/>
          <w:color w:val="auto"/>
          <w:sz w:val="32"/>
          <w:szCs w:val="32"/>
          <w:highlight w:val="none"/>
        </w:rPr>
        <w:t>支持</w:t>
      </w:r>
      <w:r>
        <w:rPr>
          <w:rFonts w:ascii="Times New Roman" w:hAnsi="Times New Roman" w:eastAsia="仿宋_GB2312"/>
          <w:color w:val="auto"/>
          <w:sz w:val="32"/>
          <w:szCs w:val="32"/>
          <w:highlight w:val="none"/>
        </w:rPr>
        <w:t>企业实施智能制造升级改造，强化先进装备研发和产业化</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对获得市</w:t>
      </w:r>
      <w:r>
        <w:rPr>
          <w:rFonts w:hint="eastAsia" w:ascii="Times New Roman" w:hAnsi="Times New Roman" w:eastAsia="仿宋_GB2312"/>
          <w:color w:val="auto"/>
          <w:sz w:val="32"/>
          <w:szCs w:val="32"/>
          <w:highlight w:val="none"/>
        </w:rPr>
        <w:t>工信局“</w:t>
      </w:r>
      <w:r>
        <w:rPr>
          <w:rFonts w:ascii="Times New Roman" w:hAnsi="Times New Roman" w:eastAsia="仿宋_GB2312"/>
          <w:color w:val="auto"/>
          <w:sz w:val="32"/>
          <w:szCs w:val="32"/>
          <w:highlight w:val="none"/>
        </w:rPr>
        <w:t>智能制造</w:t>
      </w:r>
      <w:r>
        <w:rPr>
          <w:rFonts w:hint="eastAsia" w:ascii="Times New Roman" w:hAnsi="Times New Roman" w:eastAsia="仿宋_GB2312"/>
          <w:color w:val="auto"/>
          <w:sz w:val="32"/>
          <w:szCs w:val="32"/>
          <w:highlight w:val="none"/>
        </w:rPr>
        <w:t>专题</w:t>
      </w:r>
      <w:r>
        <w:rPr>
          <w:rFonts w:ascii="Times New Roman" w:hAnsi="Times New Roman" w:eastAsia="仿宋_GB2312"/>
          <w:color w:val="auto"/>
          <w:sz w:val="32"/>
          <w:szCs w:val="32"/>
          <w:highlight w:val="none"/>
        </w:rPr>
        <w:t>项目</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认定的企业，按照市财政资助金额</w:t>
      </w:r>
      <w:r>
        <w:rPr>
          <w:rFonts w:hint="eastAsia" w:ascii="Times New Roman" w:hAnsi="Times New Roman" w:eastAsia="仿宋_GB2312"/>
          <w:color w:val="auto"/>
          <w:sz w:val="32"/>
          <w:szCs w:val="32"/>
          <w:highlight w:val="none"/>
        </w:rPr>
        <w:t>不高于</w:t>
      </w:r>
      <w:r>
        <w:rPr>
          <w:rFonts w:ascii="Times New Roman" w:hAnsi="Times New Roman" w:eastAsia="仿宋_GB2312"/>
          <w:color w:val="auto"/>
          <w:sz w:val="32"/>
          <w:szCs w:val="32"/>
          <w:highlight w:val="none"/>
        </w:rPr>
        <w:t>1:0.5比例给予一次性配套奖励，每家企业最高</w:t>
      </w:r>
      <w:r>
        <w:rPr>
          <w:rFonts w:hint="eastAsia" w:ascii="Times New Roman" w:hAnsi="Times New Roman" w:eastAsia="仿宋_GB2312"/>
          <w:color w:val="auto"/>
          <w:sz w:val="32"/>
          <w:szCs w:val="32"/>
          <w:highlight w:val="none"/>
        </w:rPr>
        <w:t>奖励</w:t>
      </w:r>
      <w:r>
        <w:rPr>
          <w:rFonts w:ascii="Times New Roman" w:hAnsi="Times New Roman" w:eastAsia="仿宋_GB2312"/>
          <w:color w:val="auto"/>
          <w:sz w:val="32"/>
          <w:szCs w:val="32"/>
          <w:highlight w:val="none"/>
        </w:rPr>
        <w:t>150万元。</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重点支持新一代信息技术、生物医药等</w:t>
      </w:r>
      <w:r>
        <w:rPr>
          <w:rFonts w:hint="eastAsia" w:ascii="Times New Roman" w:hAnsi="Times New Roman" w:eastAsia="仿宋_GB2312"/>
          <w:color w:val="auto"/>
          <w:sz w:val="32"/>
          <w:szCs w:val="32"/>
          <w:highlight w:val="none"/>
        </w:rPr>
        <w:t>领域的企业实施</w:t>
      </w:r>
      <w:r>
        <w:rPr>
          <w:rFonts w:ascii="Times New Roman" w:hAnsi="Times New Roman" w:eastAsia="仿宋_GB2312"/>
          <w:color w:val="auto"/>
          <w:sz w:val="32"/>
          <w:szCs w:val="32"/>
          <w:highlight w:val="none"/>
        </w:rPr>
        <w:t>技术改造、智能化改造。</w:t>
      </w:r>
      <w:r>
        <w:rPr>
          <w:rFonts w:hint="eastAsia" w:ascii="Times New Roman" w:hAnsi="Times New Roman" w:eastAsia="仿宋_GB2312"/>
          <w:color w:val="auto"/>
          <w:sz w:val="32"/>
          <w:szCs w:val="32"/>
          <w:highlight w:val="none"/>
        </w:rPr>
        <w:t>每</w:t>
      </w:r>
      <w:r>
        <w:rPr>
          <w:rFonts w:ascii="Times New Roman" w:hAnsi="Times New Roman" w:eastAsia="仿宋_GB2312"/>
          <w:color w:val="auto"/>
          <w:sz w:val="32"/>
          <w:szCs w:val="32"/>
          <w:highlight w:val="none"/>
        </w:rPr>
        <w:t>个项目获国家、省、市、</w:t>
      </w:r>
      <w:r>
        <w:rPr>
          <w:rFonts w:hint="eastAsia" w:ascii="Times New Roman" w:hAnsi="Times New Roman" w:eastAsia="仿宋_GB2312"/>
          <w:color w:val="auto"/>
          <w:sz w:val="32"/>
          <w:szCs w:val="32"/>
          <w:highlight w:val="none"/>
        </w:rPr>
        <w:t>新</w:t>
      </w:r>
      <w:r>
        <w:rPr>
          <w:rFonts w:ascii="Times New Roman" w:hAnsi="Times New Roman" w:eastAsia="仿宋_GB2312"/>
          <w:color w:val="auto"/>
          <w:sz w:val="32"/>
          <w:szCs w:val="32"/>
          <w:highlight w:val="none"/>
        </w:rPr>
        <w:t>区各级、各类</w:t>
      </w:r>
      <w:r>
        <w:rPr>
          <w:rFonts w:hint="eastAsia" w:ascii="Times New Roman" w:hAnsi="Times New Roman" w:eastAsia="仿宋_GB2312"/>
          <w:color w:val="auto"/>
          <w:sz w:val="32"/>
          <w:szCs w:val="32"/>
          <w:highlight w:val="none"/>
        </w:rPr>
        <w:t>资助金额</w:t>
      </w:r>
      <w:r>
        <w:rPr>
          <w:rFonts w:ascii="Times New Roman" w:hAnsi="Times New Roman" w:eastAsia="仿宋_GB2312"/>
          <w:color w:val="auto"/>
          <w:sz w:val="32"/>
          <w:szCs w:val="32"/>
          <w:highlight w:val="none"/>
        </w:rPr>
        <w:t>不高于</w:t>
      </w:r>
      <w:r>
        <w:rPr>
          <w:rFonts w:hint="eastAsia" w:ascii="Times New Roman" w:hAnsi="Times New Roman" w:eastAsia="仿宋_GB2312"/>
          <w:color w:val="auto"/>
          <w:sz w:val="32"/>
          <w:szCs w:val="32"/>
          <w:highlight w:val="none"/>
        </w:rPr>
        <w:t>设备购置金额（含配套软件）</w:t>
      </w:r>
      <w:r>
        <w:rPr>
          <w:rFonts w:ascii="Times New Roman" w:hAnsi="Times New Roman" w:eastAsia="仿宋_GB2312"/>
          <w:color w:val="auto"/>
          <w:sz w:val="32"/>
          <w:szCs w:val="32"/>
          <w:highlight w:val="none"/>
        </w:rPr>
        <w:t>的</w:t>
      </w:r>
      <w:r>
        <w:rPr>
          <w:rFonts w:hint="eastAsia" w:ascii="Times New Roman" w:hAnsi="Times New Roman" w:eastAsia="仿宋_GB2312"/>
          <w:color w:val="auto"/>
          <w:sz w:val="32"/>
          <w:szCs w:val="32"/>
          <w:highlight w:val="none"/>
        </w:rPr>
        <w:t>30</w:t>
      </w:r>
      <w:r>
        <w:rPr>
          <w:rFonts w:ascii="Times New Roman" w:hAnsi="Times New Roman" w:eastAsia="仿宋_GB2312"/>
          <w:color w:val="auto"/>
          <w:sz w:val="32"/>
          <w:szCs w:val="32"/>
          <w:highlight w:val="none"/>
        </w:rPr>
        <w:t>%。</w:t>
      </w:r>
    </w:p>
    <w:p>
      <w:pPr>
        <w:pStyle w:val="10"/>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仿宋_GB2312"/>
          <w:color w:val="auto"/>
          <w:sz w:val="32"/>
          <w:szCs w:val="32"/>
          <w:highlight w:val="none"/>
        </w:rPr>
      </w:pPr>
      <w:r>
        <w:rPr>
          <w:rFonts w:hint="eastAsia" w:ascii="黑体" w:hAnsi="黑体" w:eastAsia="黑体" w:cs="黑体"/>
          <w:color w:val="auto"/>
          <w:sz w:val="32"/>
          <w:szCs w:val="32"/>
          <w:highlight w:val="none"/>
          <w:shd w:val="clear" w:color="auto" w:fill="FFFFFF"/>
        </w:rPr>
        <w:t>第四条</w:t>
      </w:r>
      <w:r>
        <w:rPr>
          <w:rFonts w:hint="eastAsia" w:ascii="Times New Roman" w:hAnsi="Times New Roman" w:eastAsia="仿宋_GB2312"/>
          <w:b/>
          <w:bCs/>
          <w:color w:val="auto"/>
          <w:sz w:val="32"/>
          <w:szCs w:val="32"/>
          <w:highlight w:val="none"/>
          <w:shd w:val="clear" w:color="auto" w:fill="FFFFFF"/>
        </w:rPr>
        <w:t xml:space="preserve"> 【</w:t>
      </w:r>
      <w:r>
        <w:rPr>
          <w:rFonts w:ascii="Times New Roman" w:hAnsi="Times New Roman" w:eastAsia="仿宋_GB2312"/>
          <w:b/>
          <w:bCs/>
          <w:color w:val="auto"/>
          <w:sz w:val="32"/>
          <w:szCs w:val="32"/>
          <w:highlight w:val="none"/>
          <w:shd w:val="clear" w:color="auto" w:fill="FFFFFF"/>
        </w:rPr>
        <w:t>开展信息化专项扶持</w:t>
      </w:r>
      <w:r>
        <w:rPr>
          <w:rFonts w:hint="eastAsia" w:ascii="Times New Roman" w:hAnsi="Times New Roman" w:eastAsia="仿宋_GB2312"/>
          <w:b/>
          <w:bCs/>
          <w:color w:val="auto"/>
          <w:sz w:val="32"/>
          <w:szCs w:val="32"/>
          <w:highlight w:val="none"/>
          <w:shd w:val="clear" w:color="auto" w:fill="FFFFFF"/>
        </w:rPr>
        <w:t>】</w:t>
      </w:r>
      <w:r>
        <w:rPr>
          <w:rStyle w:val="14"/>
          <w:rFonts w:hint="eastAsia" w:ascii="Times New Roman" w:hAnsi="Times New Roman" w:eastAsia="仿宋_GB2312"/>
          <w:b w:val="0"/>
          <w:color w:val="auto"/>
          <w:sz w:val="32"/>
          <w:szCs w:val="32"/>
          <w:highlight w:val="none"/>
        </w:rPr>
        <w:t>重点扶持</w:t>
      </w:r>
      <w:r>
        <w:rPr>
          <w:rStyle w:val="14"/>
          <w:rFonts w:ascii="Times New Roman" w:hAnsi="Times New Roman" w:eastAsia="仿宋_GB2312"/>
          <w:b w:val="0"/>
          <w:color w:val="auto"/>
          <w:sz w:val="32"/>
          <w:szCs w:val="32"/>
          <w:highlight w:val="none"/>
        </w:rPr>
        <w:t>两化融合应用、工业互联网、5G融合应用、大数据平台、软件和信息技术服务业发展等领域的项目和企业</w:t>
      </w:r>
      <w:r>
        <w:rPr>
          <w:rStyle w:val="14"/>
          <w:rFonts w:hint="eastAsia" w:ascii="Times New Roman" w:hAnsi="Times New Roman" w:eastAsia="仿宋_GB2312"/>
          <w:b w:val="0"/>
          <w:color w:val="auto"/>
          <w:sz w:val="32"/>
          <w:szCs w:val="32"/>
          <w:highlight w:val="none"/>
          <w:lang w:eastAsia="zh-CN"/>
        </w:rPr>
        <w:t>，</w:t>
      </w:r>
      <w:r>
        <w:rPr>
          <w:rStyle w:val="14"/>
          <w:rFonts w:hint="eastAsia" w:ascii="Times New Roman" w:hAnsi="Times New Roman" w:eastAsia="仿宋_GB2312"/>
          <w:b w:val="0"/>
          <w:color w:val="auto"/>
          <w:sz w:val="32"/>
          <w:szCs w:val="32"/>
          <w:highlight w:val="none"/>
          <w:lang w:val="en-US" w:eastAsia="zh-CN"/>
        </w:rPr>
        <w:t>对</w:t>
      </w:r>
      <w:r>
        <w:rPr>
          <w:rStyle w:val="14"/>
          <w:rFonts w:ascii="Times New Roman" w:hAnsi="Times New Roman" w:eastAsia="仿宋_GB2312"/>
          <w:b w:val="0"/>
          <w:color w:val="auto"/>
          <w:sz w:val="32"/>
          <w:szCs w:val="32"/>
          <w:highlight w:val="none"/>
        </w:rPr>
        <w:t>获得市工信局</w:t>
      </w:r>
      <w:r>
        <w:rPr>
          <w:rStyle w:val="14"/>
          <w:rFonts w:hint="eastAsia" w:ascii="Times New Roman" w:hAnsi="Times New Roman" w:eastAsia="仿宋_GB2312"/>
          <w:b w:val="0"/>
          <w:color w:val="auto"/>
          <w:sz w:val="32"/>
          <w:szCs w:val="32"/>
          <w:highlight w:val="none"/>
        </w:rPr>
        <w:t>“信息化发展专题项目”认定的</w:t>
      </w:r>
      <w:r>
        <w:rPr>
          <w:rFonts w:ascii="Times New Roman" w:hAnsi="Times New Roman" w:eastAsia="仿宋_GB2312"/>
          <w:color w:val="auto"/>
          <w:sz w:val="32"/>
          <w:szCs w:val="32"/>
          <w:highlight w:val="none"/>
        </w:rPr>
        <w:t>企业，按照市财政资助金额</w:t>
      </w:r>
      <w:r>
        <w:rPr>
          <w:rFonts w:hint="eastAsia" w:ascii="Times New Roman" w:hAnsi="Times New Roman" w:eastAsia="仿宋_GB2312"/>
          <w:color w:val="auto"/>
          <w:sz w:val="32"/>
          <w:szCs w:val="32"/>
          <w:highlight w:val="none"/>
        </w:rPr>
        <w:t>不高于</w:t>
      </w:r>
      <w:r>
        <w:rPr>
          <w:rFonts w:ascii="Times New Roman" w:hAnsi="Times New Roman" w:eastAsia="仿宋_GB2312"/>
          <w:color w:val="auto"/>
          <w:sz w:val="32"/>
          <w:szCs w:val="32"/>
          <w:highlight w:val="none"/>
        </w:rPr>
        <w:t>1:0.5比例给予一次性配套奖励，每家企业最高</w:t>
      </w:r>
      <w:r>
        <w:rPr>
          <w:rFonts w:hint="eastAsia" w:ascii="Times New Roman" w:hAnsi="Times New Roman" w:eastAsia="仿宋_GB2312"/>
          <w:color w:val="auto"/>
          <w:sz w:val="32"/>
          <w:szCs w:val="32"/>
          <w:highlight w:val="none"/>
        </w:rPr>
        <w:t>奖励</w:t>
      </w:r>
      <w:r>
        <w:rPr>
          <w:rFonts w:ascii="Times New Roman" w:hAnsi="Times New Roman" w:eastAsia="仿宋_GB2312"/>
          <w:color w:val="auto"/>
          <w:sz w:val="32"/>
          <w:szCs w:val="32"/>
          <w:highlight w:val="none"/>
        </w:rPr>
        <w:t>100万元。</w:t>
      </w:r>
      <w:r>
        <w:rPr>
          <w:rFonts w:hint="eastAsia" w:ascii="Times New Roman" w:hAnsi="Times New Roman" w:eastAsia="仿宋_GB2312"/>
          <w:color w:val="auto"/>
          <w:sz w:val="32"/>
          <w:szCs w:val="32"/>
          <w:highlight w:val="none"/>
        </w:rPr>
        <w:t>每</w:t>
      </w:r>
      <w:r>
        <w:rPr>
          <w:rFonts w:ascii="Times New Roman" w:hAnsi="Times New Roman" w:eastAsia="仿宋_GB2312"/>
          <w:color w:val="auto"/>
          <w:sz w:val="32"/>
          <w:szCs w:val="32"/>
          <w:highlight w:val="none"/>
        </w:rPr>
        <w:t>个项目获国家、省、市、</w:t>
      </w:r>
      <w:r>
        <w:rPr>
          <w:rFonts w:hint="eastAsia" w:ascii="Times New Roman" w:hAnsi="Times New Roman" w:eastAsia="仿宋_GB2312"/>
          <w:color w:val="auto"/>
          <w:sz w:val="32"/>
          <w:szCs w:val="32"/>
          <w:highlight w:val="none"/>
        </w:rPr>
        <w:t>新</w:t>
      </w:r>
      <w:r>
        <w:rPr>
          <w:rFonts w:ascii="Times New Roman" w:hAnsi="Times New Roman" w:eastAsia="仿宋_GB2312"/>
          <w:color w:val="auto"/>
          <w:sz w:val="32"/>
          <w:szCs w:val="32"/>
          <w:highlight w:val="none"/>
        </w:rPr>
        <w:t>区各级、各类</w:t>
      </w:r>
      <w:r>
        <w:rPr>
          <w:rFonts w:hint="eastAsia" w:ascii="Times New Roman" w:hAnsi="Times New Roman" w:eastAsia="仿宋_GB2312"/>
          <w:color w:val="auto"/>
          <w:sz w:val="32"/>
          <w:szCs w:val="32"/>
          <w:highlight w:val="none"/>
        </w:rPr>
        <w:t>资助金额</w:t>
      </w:r>
      <w:r>
        <w:rPr>
          <w:rFonts w:ascii="Times New Roman" w:hAnsi="Times New Roman" w:eastAsia="仿宋_GB2312"/>
          <w:color w:val="auto"/>
          <w:sz w:val="32"/>
          <w:szCs w:val="32"/>
          <w:highlight w:val="none"/>
        </w:rPr>
        <w:t>不高于项目总投入的</w:t>
      </w:r>
      <w:r>
        <w:rPr>
          <w:rFonts w:hint="eastAsia" w:ascii="Times New Roman" w:hAnsi="Times New Roman" w:eastAsia="仿宋_GB2312"/>
          <w:color w:val="auto"/>
          <w:sz w:val="32"/>
          <w:szCs w:val="32"/>
          <w:highlight w:val="none"/>
        </w:rPr>
        <w:t>30</w:t>
      </w:r>
      <w:r>
        <w:rPr>
          <w:rFonts w:ascii="Times New Roman" w:hAnsi="Times New Roman" w:eastAsia="仿宋_GB2312"/>
          <w:color w:val="auto"/>
          <w:sz w:val="32"/>
          <w:szCs w:val="32"/>
          <w:highlight w:val="none"/>
        </w:rPr>
        <w:t>%。</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仿宋_GB2312"/>
          <w:color w:val="auto"/>
          <w:sz w:val="32"/>
          <w:szCs w:val="32"/>
          <w:highlight w:val="none"/>
        </w:rPr>
      </w:pPr>
      <w:r>
        <w:rPr>
          <w:rFonts w:hint="eastAsia" w:ascii="黑体" w:hAnsi="黑体" w:eastAsia="黑体" w:cs="黑体"/>
          <w:color w:val="auto"/>
          <w:sz w:val="32"/>
          <w:szCs w:val="32"/>
          <w:highlight w:val="none"/>
          <w:shd w:val="clear" w:color="auto" w:fill="FFFFFF"/>
        </w:rPr>
        <w:t xml:space="preserve">第五条 </w:t>
      </w:r>
      <w:r>
        <w:rPr>
          <w:rFonts w:hint="eastAsia" w:ascii="黑体" w:hAnsi="黑体" w:eastAsia="黑体" w:cs="黑体"/>
          <w:b/>
          <w:bCs/>
          <w:color w:val="auto"/>
          <w:sz w:val="32"/>
          <w:szCs w:val="32"/>
          <w:highlight w:val="none"/>
          <w:shd w:val="clear" w:color="auto" w:fill="FFFFFF"/>
        </w:rPr>
        <w:t>【</w:t>
      </w:r>
      <w:r>
        <w:rPr>
          <w:rFonts w:ascii="Times New Roman" w:hAnsi="Times New Roman" w:eastAsia="仿宋_GB2312"/>
          <w:b/>
          <w:bCs/>
          <w:color w:val="auto"/>
          <w:sz w:val="32"/>
          <w:szCs w:val="32"/>
          <w:highlight w:val="none"/>
        </w:rPr>
        <w:t>鼓励科技创新</w:t>
      </w:r>
      <w:r>
        <w:rPr>
          <w:rFonts w:hint="eastAsia" w:ascii="黑体" w:hAnsi="黑体" w:eastAsia="黑体" w:cs="黑体"/>
          <w:b/>
          <w:bCs/>
          <w:color w:val="auto"/>
          <w:sz w:val="32"/>
          <w:szCs w:val="32"/>
          <w:highlight w:val="none"/>
          <w:shd w:val="clear" w:color="auto" w:fill="FFFFFF"/>
        </w:rPr>
        <w:t>】</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heme="minorEastAsia" w:hAnsiTheme="minorEastAsia" w:cstheme="minorEastAsia"/>
          <w:bCs/>
          <w:color w:val="auto"/>
          <w:sz w:val="21"/>
          <w:szCs w:val="21"/>
          <w:highlight w:val="none"/>
        </w:rPr>
      </w:pPr>
      <w:r>
        <w:rPr>
          <w:rFonts w:hint="eastAsia" w:ascii="Times New Roman" w:hAnsi="Times New Roman" w:eastAsia="仿宋_GB2312"/>
          <w:bCs/>
          <w:color w:val="auto"/>
          <w:sz w:val="32"/>
          <w:szCs w:val="32"/>
          <w:highlight w:val="none"/>
        </w:rPr>
        <w:t>（一）</w:t>
      </w:r>
      <w:r>
        <w:rPr>
          <w:rFonts w:ascii="Times New Roman" w:hAnsi="Times New Roman" w:eastAsia="仿宋_GB2312"/>
          <w:bCs/>
          <w:color w:val="auto"/>
          <w:sz w:val="32"/>
          <w:szCs w:val="32"/>
          <w:highlight w:val="none"/>
        </w:rPr>
        <w:t>研发机构奖励。</w:t>
      </w:r>
      <w:r>
        <w:rPr>
          <w:rFonts w:hint="eastAsia" w:ascii="Times New Roman" w:hAnsi="Times New Roman" w:eastAsia="仿宋_GB2312"/>
          <w:bCs/>
          <w:color w:val="auto"/>
          <w:sz w:val="32"/>
          <w:szCs w:val="32"/>
          <w:highlight w:val="none"/>
          <w:lang w:val="en-US" w:eastAsia="zh-CN"/>
        </w:rPr>
        <w:t>对获得国家级、省级和市级工程研究中心、技术创新中心、重点实验室等创新平台认定的研发机构</w:t>
      </w:r>
      <w:r>
        <w:rPr>
          <w:rFonts w:hint="eastAsia" w:ascii="Times New Roman" w:hAnsi="Times New Roman" w:eastAsia="仿宋_GB2312"/>
          <w:bCs/>
          <w:color w:val="auto"/>
          <w:sz w:val="32"/>
          <w:szCs w:val="32"/>
          <w:highlight w:val="none"/>
        </w:rPr>
        <w:t>，</w:t>
      </w:r>
      <w:r>
        <w:rPr>
          <w:rFonts w:ascii="Times New Roman" w:hAnsi="Times New Roman" w:eastAsia="仿宋_GB2312"/>
          <w:bCs/>
          <w:color w:val="auto"/>
          <w:sz w:val="32"/>
          <w:szCs w:val="32"/>
          <w:highlight w:val="none"/>
        </w:rPr>
        <w:t>分别</w:t>
      </w:r>
      <w:r>
        <w:rPr>
          <w:rFonts w:hint="eastAsia" w:ascii="Times New Roman" w:hAnsi="Times New Roman" w:eastAsia="仿宋_GB2312"/>
          <w:bCs/>
          <w:color w:val="auto"/>
          <w:sz w:val="32"/>
          <w:szCs w:val="32"/>
          <w:highlight w:val="none"/>
        </w:rPr>
        <w:t>给予</w:t>
      </w:r>
      <w:r>
        <w:rPr>
          <w:rFonts w:ascii="Times New Roman" w:hAnsi="Times New Roman" w:eastAsia="仿宋_GB2312"/>
          <w:bCs/>
          <w:color w:val="auto"/>
          <w:sz w:val="32"/>
          <w:szCs w:val="32"/>
          <w:highlight w:val="none"/>
        </w:rPr>
        <w:t>一次性</w:t>
      </w:r>
      <w:r>
        <w:rPr>
          <w:rFonts w:hint="eastAsia" w:ascii="Times New Roman" w:hAnsi="Times New Roman" w:eastAsia="仿宋_GB2312"/>
          <w:bCs/>
          <w:color w:val="auto"/>
          <w:sz w:val="32"/>
          <w:szCs w:val="32"/>
          <w:highlight w:val="none"/>
        </w:rPr>
        <w:t>50</w:t>
      </w:r>
      <w:r>
        <w:rPr>
          <w:rFonts w:ascii="Times New Roman" w:hAnsi="Times New Roman" w:eastAsia="仿宋_GB2312"/>
          <w:bCs/>
          <w:color w:val="auto"/>
          <w:sz w:val="32"/>
          <w:szCs w:val="32"/>
          <w:highlight w:val="none"/>
        </w:rPr>
        <w:t>万元、</w:t>
      </w:r>
      <w:r>
        <w:rPr>
          <w:rFonts w:hint="eastAsia" w:ascii="Times New Roman" w:hAnsi="Times New Roman" w:eastAsia="仿宋_GB2312"/>
          <w:bCs/>
          <w:color w:val="auto"/>
          <w:sz w:val="32"/>
          <w:szCs w:val="32"/>
          <w:highlight w:val="none"/>
        </w:rPr>
        <w:t>1</w:t>
      </w:r>
      <w:r>
        <w:rPr>
          <w:rFonts w:ascii="Times New Roman" w:hAnsi="Times New Roman" w:eastAsia="仿宋_GB2312"/>
          <w:bCs/>
          <w:color w:val="auto"/>
          <w:sz w:val="32"/>
          <w:szCs w:val="32"/>
          <w:highlight w:val="none"/>
        </w:rPr>
        <w:t>0万元和</w:t>
      </w:r>
      <w:r>
        <w:rPr>
          <w:rFonts w:hint="eastAsia" w:ascii="Times New Roman" w:hAnsi="Times New Roman" w:eastAsia="仿宋_GB2312"/>
          <w:bCs/>
          <w:color w:val="auto"/>
          <w:sz w:val="32"/>
          <w:szCs w:val="32"/>
          <w:highlight w:val="none"/>
        </w:rPr>
        <w:t>5</w:t>
      </w:r>
      <w:r>
        <w:rPr>
          <w:rFonts w:ascii="Times New Roman" w:hAnsi="Times New Roman" w:eastAsia="仿宋_GB2312"/>
          <w:bCs/>
          <w:color w:val="auto"/>
          <w:sz w:val="32"/>
          <w:szCs w:val="32"/>
          <w:highlight w:val="none"/>
        </w:rPr>
        <w:t>万元奖励</w:t>
      </w:r>
      <w:r>
        <w:rPr>
          <w:rFonts w:hint="eastAsia" w:ascii="Times New Roman" w:hAnsi="Times New Roman" w:eastAsia="仿宋_GB2312"/>
          <w:bCs/>
          <w:color w:val="auto"/>
          <w:sz w:val="32"/>
          <w:szCs w:val="32"/>
          <w:highlight w:val="none"/>
        </w:rPr>
        <w:t>。</w:t>
      </w:r>
    </w:p>
    <w:p>
      <w:pPr>
        <w:pStyle w:val="10"/>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heme="minorEastAsia" w:hAnsiTheme="minorEastAsia" w:cstheme="minorEastAsia"/>
          <w:bCs/>
          <w:color w:val="auto"/>
          <w:sz w:val="21"/>
          <w:szCs w:val="21"/>
          <w:highlight w:val="none"/>
        </w:rPr>
      </w:pPr>
      <w:r>
        <w:rPr>
          <w:rFonts w:hint="eastAsia" w:ascii="Times New Roman" w:hAnsi="Times New Roman" w:eastAsia="仿宋_GB2312"/>
          <w:bCs/>
          <w:color w:val="auto"/>
          <w:sz w:val="32"/>
          <w:szCs w:val="32"/>
          <w:highlight w:val="none"/>
          <w:lang w:eastAsia="zh-CN"/>
        </w:rPr>
        <w:t>（</w:t>
      </w:r>
      <w:r>
        <w:rPr>
          <w:rFonts w:hint="eastAsia" w:ascii="Times New Roman" w:hAnsi="Times New Roman" w:eastAsia="仿宋_GB2312"/>
          <w:bCs/>
          <w:color w:val="auto"/>
          <w:sz w:val="32"/>
          <w:szCs w:val="32"/>
          <w:highlight w:val="none"/>
          <w:lang w:val="en-US" w:eastAsia="zh-CN"/>
        </w:rPr>
        <w:t>二</w:t>
      </w:r>
      <w:r>
        <w:rPr>
          <w:rFonts w:hint="eastAsia" w:ascii="Times New Roman" w:hAnsi="Times New Roman" w:eastAsia="仿宋_GB2312"/>
          <w:bCs/>
          <w:color w:val="auto"/>
          <w:sz w:val="32"/>
          <w:szCs w:val="32"/>
          <w:highlight w:val="none"/>
          <w:lang w:eastAsia="zh-CN"/>
        </w:rPr>
        <w:t>）</w:t>
      </w:r>
      <w:r>
        <w:rPr>
          <w:rFonts w:ascii="Times New Roman" w:hAnsi="Times New Roman" w:eastAsia="仿宋_GB2312"/>
          <w:bCs/>
          <w:color w:val="auto"/>
          <w:sz w:val="32"/>
          <w:szCs w:val="32"/>
          <w:highlight w:val="none"/>
        </w:rPr>
        <w:t>科技孵化载体奖励。对通过国家认定且年度考核评价合格或以上的科技企业孵化器、通过省认定且运营评价被评为C级</w:t>
      </w:r>
      <w:r>
        <w:rPr>
          <w:rFonts w:hint="eastAsia" w:ascii="Times New Roman" w:hAnsi="Times New Roman" w:eastAsia="仿宋_GB2312"/>
          <w:bCs/>
          <w:color w:val="auto"/>
          <w:sz w:val="32"/>
          <w:szCs w:val="32"/>
          <w:highlight w:val="none"/>
          <w:lang w:eastAsia="zh-CN"/>
        </w:rPr>
        <w:t>（</w:t>
      </w:r>
      <w:r>
        <w:rPr>
          <w:rFonts w:hint="eastAsia" w:ascii="Times New Roman" w:hAnsi="Times New Roman" w:eastAsia="仿宋_GB2312"/>
          <w:bCs/>
          <w:color w:val="auto"/>
          <w:sz w:val="32"/>
          <w:szCs w:val="32"/>
          <w:highlight w:val="none"/>
          <w:lang w:val="en-US" w:eastAsia="zh-CN"/>
        </w:rPr>
        <w:t>合格</w:t>
      </w:r>
      <w:r>
        <w:rPr>
          <w:rFonts w:hint="eastAsia" w:ascii="Times New Roman" w:hAnsi="Times New Roman" w:eastAsia="仿宋_GB2312"/>
          <w:bCs/>
          <w:color w:val="auto"/>
          <w:sz w:val="32"/>
          <w:szCs w:val="32"/>
          <w:highlight w:val="none"/>
          <w:lang w:eastAsia="zh-CN"/>
        </w:rPr>
        <w:t>）</w:t>
      </w:r>
      <w:r>
        <w:rPr>
          <w:rFonts w:ascii="Times New Roman" w:hAnsi="Times New Roman" w:eastAsia="仿宋_GB2312"/>
          <w:bCs/>
          <w:color w:val="auto"/>
          <w:sz w:val="32"/>
          <w:szCs w:val="32"/>
          <w:highlight w:val="none"/>
        </w:rPr>
        <w:t>或以上的科技企业孵化器</w:t>
      </w:r>
      <w:r>
        <w:rPr>
          <w:rFonts w:ascii="Times New Roman" w:hAnsi="Times New Roman" w:eastAsia="仿宋_GB2312"/>
          <w:color w:val="auto"/>
          <w:sz w:val="32"/>
          <w:szCs w:val="32"/>
          <w:highlight w:val="none"/>
        </w:rPr>
        <w:t>按照市财政资助金额</w:t>
      </w:r>
      <w:r>
        <w:rPr>
          <w:rFonts w:hint="eastAsia" w:ascii="Times New Roman" w:hAnsi="Times New Roman" w:eastAsia="仿宋_GB2312"/>
          <w:color w:val="auto"/>
          <w:sz w:val="32"/>
          <w:szCs w:val="32"/>
          <w:highlight w:val="none"/>
        </w:rPr>
        <w:t>不高于</w:t>
      </w:r>
      <w:r>
        <w:rPr>
          <w:rFonts w:ascii="Times New Roman" w:hAnsi="Times New Roman" w:eastAsia="仿宋_GB2312"/>
          <w:bCs/>
          <w:color w:val="auto"/>
          <w:sz w:val="32"/>
          <w:szCs w:val="32"/>
          <w:highlight w:val="none"/>
        </w:rPr>
        <w:t>1:0.5比例给予</w:t>
      </w:r>
      <w:r>
        <w:rPr>
          <w:rFonts w:hint="eastAsia" w:ascii="Times New Roman" w:hAnsi="Times New Roman" w:eastAsia="仿宋_GB2312"/>
          <w:bCs/>
          <w:color w:val="auto"/>
          <w:sz w:val="32"/>
          <w:szCs w:val="32"/>
          <w:highlight w:val="none"/>
        </w:rPr>
        <w:t>一次性</w:t>
      </w:r>
      <w:r>
        <w:rPr>
          <w:rFonts w:ascii="Times New Roman" w:hAnsi="Times New Roman" w:eastAsia="仿宋_GB2312"/>
          <w:bCs/>
          <w:color w:val="auto"/>
          <w:sz w:val="32"/>
          <w:szCs w:val="32"/>
          <w:highlight w:val="none"/>
        </w:rPr>
        <w:t>配套</w:t>
      </w:r>
      <w:r>
        <w:rPr>
          <w:rFonts w:hint="eastAsia" w:ascii="Times New Roman" w:hAnsi="Times New Roman" w:eastAsia="仿宋_GB2312"/>
          <w:bCs/>
          <w:color w:val="auto"/>
          <w:sz w:val="32"/>
          <w:szCs w:val="32"/>
          <w:highlight w:val="none"/>
        </w:rPr>
        <w:t>奖励</w:t>
      </w:r>
      <w:r>
        <w:rPr>
          <w:rFonts w:ascii="Times New Roman" w:hAnsi="Times New Roman" w:eastAsia="仿宋_GB2312"/>
          <w:bCs/>
          <w:color w:val="auto"/>
          <w:sz w:val="32"/>
          <w:szCs w:val="32"/>
          <w:highlight w:val="none"/>
        </w:rPr>
        <w:t>。</w:t>
      </w:r>
    </w:p>
    <w:p>
      <w:pPr>
        <w:pStyle w:val="10"/>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仿宋_GB2312"/>
          <w:bCs/>
          <w:color w:val="auto"/>
          <w:sz w:val="32"/>
          <w:szCs w:val="32"/>
          <w:highlight w:val="none"/>
        </w:rPr>
      </w:pPr>
      <w:r>
        <w:rPr>
          <w:rStyle w:val="14"/>
          <w:rFonts w:hint="eastAsia" w:ascii="Times New Roman" w:hAnsi="Times New Roman" w:eastAsia="仿宋_GB2312"/>
          <w:b w:val="0"/>
          <w:bCs/>
          <w:color w:val="auto"/>
          <w:sz w:val="32"/>
          <w:szCs w:val="32"/>
          <w:highlight w:val="none"/>
          <w:shd w:val="clear" w:color="auto" w:fill="FFFFFF"/>
          <w:lang w:eastAsia="zh-CN"/>
        </w:rPr>
        <w:t>（</w:t>
      </w:r>
      <w:r>
        <w:rPr>
          <w:rStyle w:val="14"/>
          <w:rFonts w:hint="eastAsia" w:ascii="Times New Roman" w:hAnsi="Times New Roman" w:eastAsia="仿宋_GB2312"/>
          <w:b w:val="0"/>
          <w:bCs/>
          <w:color w:val="auto"/>
          <w:sz w:val="32"/>
          <w:szCs w:val="32"/>
          <w:highlight w:val="none"/>
          <w:shd w:val="clear" w:color="auto" w:fill="FFFFFF"/>
          <w:lang w:val="en-US" w:eastAsia="zh-CN"/>
        </w:rPr>
        <w:t>三</w:t>
      </w:r>
      <w:r>
        <w:rPr>
          <w:rStyle w:val="14"/>
          <w:rFonts w:hint="eastAsia" w:ascii="Times New Roman" w:hAnsi="Times New Roman" w:eastAsia="仿宋_GB2312"/>
          <w:b w:val="0"/>
          <w:bCs/>
          <w:color w:val="auto"/>
          <w:sz w:val="32"/>
          <w:szCs w:val="32"/>
          <w:highlight w:val="none"/>
          <w:shd w:val="clear" w:color="auto" w:fill="FFFFFF"/>
          <w:lang w:eastAsia="zh-CN"/>
        </w:rPr>
        <w:t>）</w:t>
      </w:r>
      <w:r>
        <w:rPr>
          <w:rStyle w:val="14"/>
          <w:rFonts w:ascii="Times New Roman" w:hAnsi="Times New Roman" w:eastAsia="仿宋_GB2312"/>
          <w:b w:val="0"/>
          <w:bCs/>
          <w:color w:val="auto"/>
          <w:sz w:val="32"/>
          <w:szCs w:val="32"/>
          <w:highlight w:val="none"/>
          <w:shd w:val="clear" w:color="auto" w:fill="FFFFFF"/>
        </w:rPr>
        <w:t>科技项目配套</w:t>
      </w:r>
      <w:r>
        <w:rPr>
          <w:rStyle w:val="14"/>
          <w:rFonts w:hint="eastAsia" w:ascii="Times New Roman" w:hAnsi="Times New Roman" w:eastAsia="仿宋_GB2312"/>
          <w:b w:val="0"/>
          <w:bCs/>
          <w:color w:val="auto"/>
          <w:sz w:val="32"/>
          <w:szCs w:val="32"/>
          <w:highlight w:val="none"/>
          <w:shd w:val="clear" w:color="auto" w:fill="FFFFFF"/>
        </w:rPr>
        <w:t>奖励</w:t>
      </w:r>
      <w:r>
        <w:rPr>
          <w:rStyle w:val="14"/>
          <w:rFonts w:ascii="Times New Roman" w:hAnsi="Times New Roman" w:eastAsia="仿宋_GB2312"/>
          <w:b w:val="0"/>
          <w:bCs/>
          <w:color w:val="auto"/>
          <w:sz w:val="32"/>
          <w:szCs w:val="32"/>
          <w:highlight w:val="none"/>
          <w:shd w:val="clear" w:color="auto" w:fill="FFFFFF"/>
        </w:rPr>
        <w:t>。</w:t>
      </w:r>
      <w:r>
        <w:rPr>
          <w:rFonts w:ascii="Times New Roman" w:hAnsi="Times New Roman" w:eastAsia="仿宋_GB2312"/>
          <w:bCs/>
          <w:color w:val="auto"/>
          <w:sz w:val="32"/>
          <w:szCs w:val="32"/>
          <w:highlight w:val="none"/>
          <w:shd w:val="clear" w:color="auto" w:fill="FFFFFF"/>
        </w:rPr>
        <w:t>对</w:t>
      </w:r>
      <w:r>
        <w:rPr>
          <w:rFonts w:hint="eastAsia" w:ascii="Times New Roman" w:hAnsi="Times New Roman" w:eastAsia="仿宋_GB2312"/>
          <w:bCs/>
          <w:color w:val="auto"/>
          <w:sz w:val="32"/>
          <w:szCs w:val="32"/>
          <w:highlight w:val="none"/>
          <w:shd w:val="clear" w:color="auto" w:fill="FFFFFF"/>
        </w:rPr>
        <w:t>获得</w:t>
      </w:r>
      <w:r>
        <w:rPr>
          <w:rFonts w:ascii="Times New Roman" w:hAnsi="Times New Roman" w:eastAsia="仿宋_GB2312"/>
          <w:bCs/>
          <w:color w:val="auto"/>
          <w:sz w:val="32"/>
          <w:szCs w:val="32"/>
          <w:highlight w:val="none"/>
          <w:shd w:val="clear" w:color="auto" w:fill="FFFFFF"/>
        </w:rPr>
        <w:t>国家级、省级和市级科技立项资助的科技创新、成果转化等项目，按照市财政资助金额不高于1:0.5比例给予一次性配套奖励。</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bCs/>
          <w:color w:val="auto"/>
          <w:sz w:val="32"/>
          <w:szCs w:val="32"/>
          <w:highlight w:val="none"/>
        </w:rPr>
      </w:pPr>
      <w:r>
        <w:rPr>
          <w:rFonts w:hint="eastAsia" w:ascii="Times New Roman" w:hAnsi="Times New Roman" w:eastAsia="仿宋_GB2312"/>
          <w:bCs/>
          <w:color w:val="auto"/>
          <w:sz w:val="32"/>
          <w:szCs w:val="32"/>
          <w:highlight w:val="none"/>
          <w:shd w:val="clear" w:color="auto" w:fill="FFFFFF"/>
        </w:rPr>
        <w:t>以上科技项目</w:t>
      </w:r>
      <w:r>
        <w:rPr>
          <w:rFonts w:hint="eastAsia" w:ascii="Times New Roman" w:hAnsi="Times New Roman" w:eastAsia="仿宋_GB2312"/>
          <w:bCs/>
          <w:color w:val="auto"/>
          <w:sz w:val="32"/>
          <w:szCs w:val="32"/>
          <w:highlight w:val="none"/>
        </w:rPr>
        <w:t>获国家、省、市、新区各级、各类资助金额不高于项目总投入的30%</w:t>
      </w:r>
      <w:r>
        <w:rPr>
          <w:rFonts w:ascii="Times New Roman" w:hAnsi="Times New Roman" w:eastAsia="仿宋_GB2312"/>
          <w:bCs/>
          <w:color w:val="auto"/>
          <w:sz w:val="32"/>
          <w:szCs w:val="32"/>
          <w:highlight w:val="none"/>
        </w:rPr>
        <w:t>。</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heme="minorEastAsia" w:hAnsiTheme="minorEastAsia" w:cstheme="minorEastAsia"/>
          <w:bCs/>
          <w:color w:val="auto"/>
          <w:sz w:val="21"/>
          <w:szCs w:val="21"/>
          <w:highlight w:val="none"/>
        </w:rPr>
      </w:pPr>
      <w:r>
        <w:rPr>
          <w:rFonts w:hint="eastAsia" w:ascii="黑体" w:hAnsi="黑体" w:eastAsia="黑体" w:cs="黑体"/>
          <w:bCs/>
          <w:color w:val="auto"/>
          <w:sz w:val="32"/>
          <w:szCs w:val="32"/>
          <w:highlight w:val="none"/>
        </w:rPr>
        <w:t>第</w:t>
      </w:r>
      <w:r>
        <w:rPr>
          <w:rFonts w:hint="eastAsia" w:ascii="黑体" w:hAnsi="黑体" w:eastAsia="黑体" w:cs="黑体"/>
          <w:bCs/>
          <w:color w:val="auto"/>
          <w:sz w:val="32"/>
          <w:szCs w:val="32"/>
          <w:highlight w:val="none"/>
          <w:lang w:val="en-US" w:eastAsia="zh-CN"/>
        </w:rPr>
        <w:t>六</w:t>
      </w:r>
      <w:r>
        <w:rPr>
          <w:rFonts w:hint="eastAsia" w:ascii="黑体" w:hAnsi="黑体" w:eastAsia="黑体" w:cs="黑体"/>
          <w:bCs/>
          <w:color w:val="auto"/>
          <w:sz w:val="32"/>
          <w:szCs w:val="32"/>
          <w:highlight w:val="none"/>
        </w:rPr>
        <w:t xml:space="preserve">条 </w:t>
      </w:r>
      <w:r>
        <w:rPr>
          <w:rFonts w:hint="eastAsia" w:ascii="黑体" w:hAnsi="黑体" w:eastAsia="黑体" w:cs="黑体"/>
          <w:b/>
          <w:color w:val="auto"/>
          <w:sz w:val="32"/>
          <w:szCs w:val="32"/>
          <w:highlight w:val="none"/>
        </w:rPr>
        <w:t>【</w:t>
      </w:r>
      <w:r>
        <w:rPr>
          <w:rFonts w:hint="eastAsia" w:ascii="Times New Roman" w:hAnsi="Times New Roman" w:eastAsia="仿宋_GB2312"/>
          <w:b/>
          <w:color w:val="auto"/>
          <w:sz w:val="32"/>
          <w:szCs w:val="32"/>
          <w:highlight w:val="none"/>
        </w:rPr>
        <w:t>鼓励建设检验检测公共平台</w:t>
      </w:r>
      <w:r>
        <w:rPr>
          <w:rFonts w:hint="eastAsia" w:ascii="黑体" w:hAnsi="黑体" w:eastAsia="黑体" w:cs="黑体"/>
          <w:b/>
          <w:color w:val="auto"/>
          <w:sz w:val="32"/>
          <w:szCs w:val="32"/>
          <w:highlight w:val="none"/>
        </w:rPr>
        <w:t>】</w:t>
      </w:r>
      <w:r>
        <w:rPr>
          <w:rFonts w:hint="eastAsia" w:ascii="Times New Roman" w:hAnsi="Times New Roman" w:eastAsia="仿宋_GB2312"/>
          <w:bCs/>
          <w:color w:val="auto"/>
          <w:sz w:val="32"/>
          <w:szCs w:val="32"/>
          <w:highlight w:val="none"/>
        </w:rPr>
        <w:t>对检验检测能力取得相关资质认定证书、通过批准筹建的</w:t>
      </w:r>
      <w:r>
        <w:rPr>
          <w:rFonts w:hint="eastAsia" w:ascii="Times New Roman" w:hAnsi="Times New Roman" w:eastAsia="仿宋_GB2312"/>
          <w:color w:val="auto"/>
          <w:sz w:val="32"/>
          <w:szCs w:val="32"/>
          <w:highlight w:val="none"/>
          <w:shd w:val="clear" w:color="auto" w:fill="FFFFFF"/>
        </w:rPr>
        <w:t>省级以上（含省级）质量技术监督主管单位组织的验收并授权运行的新区检验检测机构，获得市市场监管局“检验检测公共平台专项资金”扶持的，按照市财政</w:t>
      </w:r>
      <w:r>
        <w:rPr>
          <w:rFonts w:hint="eastAsia" w:ascii="Times New Roman" w:hAnsi="Times New Roman" w:eastAsia="仿宋_GB2312"/>
          <w:color w:val="auto"/>
          <w:sz w:val="32"/>
          <w:szCs w:val="32"/>
          <w:highlight w:val="none"/>
        </w:rPr>
        <w:t>资助金额不高于</w:t>
      </w:r>
      <w:r>
        <w:rPr>
          <w:rFonts w:ascii="Times New Roman" w:hAnsi="Times New Roman" w:eastAsia="仿宋_GB2312"/>
          <w:color w:val="auto"/>
          <w:sz w:val="32"/>
          <w:szCs w:val="32"/>
          <w:highlight w:val="none"/>
        </w:rPr>
        <w:t>1:0.</w:t>
      </w:r>
      <w:r>
        <w:rPr>
          <w:rFonts w:hint="eastAsia" w:ascii="Times New Roman" w:hAnsi="Times New Roman" w:eastAsia="仿宋_GB2312"/>
          <w:color w:val="auto"/>
          <w:sz w:val="32"/>
          <w:szCs w:val="32"/>
          <w:highlight w:val="none"/>
        </w:rPr>
        <w:t>2</w:t>
      </w:r>
      <w:r>
        <w:rPr>
          <w:rFonts w:ascii="Times New Roman" w:hAnsi="Times New Roman" w:eastAsia="仿宋_GB2312"/>
          <w:color w:val="auto"/>
          <w:sz w:val="32"/>
          <w:szCs w:val="32"/>
          <w:highlight w:val="none"/>
        </w:rPr>
        <w:t>比例给予配套奖励</w:t>
      </w:r>
      <w:r>
        <w:rPr>
          <w:rFonts w:hint="eastAsia" w:ascii="Times New Roman" w:hAnsi="Times New Roman" w:eastAsia="仿宋_GB2312"/>
          <w:color w:val="auto"/>
          <w:sz w:val="32"/>
          <w:szCs w:val="32"/>
          <w:highlight w:val="none"/>
        </w:rPr>
        <w:t>。国家级检验检测平台最高奖励600万元，省级检验检测平台最高奖励100万元。</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仿宋_GB2312"/>
          <w:bCs/>
          <w:color w:val="auto"/>
          <w:sz w:val="32"/>
          <w:szCs w:val="32"/>
          <w:highlight w:val="none"/>
        </w:rPr>
      </w:pPr>
      <w:r>
        <w:rPr>
          <w:rFonts w:hint="eastAsia" w:ascii="黑体" w:hAnsi="黑体" w:eastAsia="黑体" w:cs="黑体"/>
          <w:bCs/>
          <w:color w:val="auto"/>
          <w:sz w:val="32"/>
          <w:szCs w:val="32"/>
          <w:highlight w:val="none"/>
        </w:rPr>
        <w:t>第</w:t>
      </w:r>
      <w:r>
        <w:rPr>
          <w:rFonts w:hint="eastAsia" w:ascii="黑体" w:hAnsi="黑体" w:eastAsia="黑体" w:cs="黑体"/>
          <w:bCs/>
          <w:color w:val="auto"/>
          <w:sz w:val="32"/>
          <w:szCs w:val="32"/>
          <w:highlight w:val="none"/>
          <w:lang w:val="en-US" w:eastAsia="zh-CN"/>
        </w:rPr>
        <w:t>七</w:t>
      </w:r>
      <w:r>
        <w:rPr>
          <w:rFonts w:hint="eastAsia" w:ascii="黑体" w:hAnsi="黑体" w:eastAsia="黑体" w:cs="黑体"/>
          <w:bCs/>
          <w:color w:val="auto"/>
          <w:sz w:val="32"/>
          <w:szCs w:val="32"/>
          <w:highlight w:val="none"/>
        </w:rPr>
        <w:t xml:space="preserve">条 </w:t>
      </w:r>
      <w:r>
        <w:rPr>
          <w:rFonts w:hint="eastAsia" w:ascii="黑体" w:hAnsi="黑体" w:eastAsia="黑体" w:cs="黑体"/>
          <w:b/>
          <w:color w:val="auto"/>
          <w:sz w:val="32"/>
          <w:szCs w:val="32"/>
          <w:highlight w:val="none"/>
        </w:rPr>
        <w:t>【</w:t>
      </w:r>
      <w:r>
        <w:rPr>
          <w:rFonts w:hint="eastAsia" w:ascii="Times New Roman" w:hAnsi="Times New Roman" w:eastAsia="仿宋_GB2312"/>
          <w:b/>
          <w:color w:val="auto"/>
          <w:sz w:val="32"/>
          <w:szCs w:val="32"/>
          <w:highlight w:val="none"/>
        </w:rPr>
        <w:t>实施技术标准战略</w:t>
      </w:r>
      <w:r>
        <w:rPr>
          <w:rFonts w:hint="eastAsia" w:ascii="黑体" w:hAnsi="黑体" w:eastAsia="黑体" w:cs="黑体"/>
          <w:b/>
          <w:color w:val="auto"/>
          <w:sz w:val="32"/>
          <w:szCs w:val="32"/>
          <w:highlight w:val="none"/>
        </w:rPr>
        <w:t>】</w:t>
      </w:r>
      <w:r>
        <w:rPr>
          <w:rFonts w:hint="eastAsia" w:ascii="Times New Roman" w:hAnsi="Times New Roman" w:eastAsia="仿宋_GB2312"/>
          <w:bCs/>
          <w:color w:val="auto"/>
          <w:sz w:val="32"/>
          <w:szCs w:val="32"/>
          <w:highlight w:val="none"/>
        </w:rPr>
        <w:t>鼓励企业参与技术标准制定与修订，鼓励企业承担专业标准化技术委员会秘书处或工作组、国际标准组织在国内的对口单位工作。对新区企业主导或协助制修订技术标准、承担标准化组织工作，获得市市场监管局“标准化战略实施专项资金”扶持的，按照市财政资助金额不高于1:0.5比例给予一次性配套奖励：</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470" w:firstLineChars="147"/>
        <w:jc w:val="both"/>
        <w:textAlignment w:val="auto"/>
        <w:rPr>
          <w:rFonts w:asciiTheme="minorEastAsia" w:hAnsiTheme="minorEastAsia" w:cstheme="minorEastAsia"/>
          <w:bCs/>
          <w:color w:val="auto"/>
          <w:sz w:val="21"/>
          <w:szCs w:val="21"/>
          <w:highlight w:val="none"/>
        </w:rPr>
      </w:pPr>
      <w:r>
        <w:rPr>
          <w:rFonts w:ascii="Times New Roman" w:hAnsi="Times New Roman" w:eastAsia="仿宋_GB2312"/>
          <w:bCs/>
          <w:color w:val="auto"/>
          <w:sz w:val="32"/>
          <w:szCs w:val="32"/>
          <w:highlight w:val="none"/>
        </w:rPr>
        <w:t>（一）制修订技术标准奖励。</w:t>
      </w:r>
      <w:r>
        <w:rPr>
          <w:rFonts w:hint="eastAsia" w:ascii="Times New Roman" w:hAnsi="Times New Roman" w:eastAsia="仿宋_GB2312"/>
          <w:bCs/>
          <w:color w:val="auto"/>
          <w:sz w:val="32"/>
          <w:szCs w:val="32"/>
          <w:highlight w:val="none"/>
        </w:rPr>
        <w:t>企业每主导制定、协助制定、主导或协助修订一项国际标准，分别配套奖励50万元、15万元和8万元；每主导制定、协助制定一项国家标准，分别配套奖励15万元、4万元；每主导制定、协助制定或主导修订一项行业标准，分别配套奖励8万元、3万元；每主导制定一项省级地方标准，配套奖励5万元。</w:t>
      </w:r>
    </w:p>
    <w:p>
      <w:pPr>
        <w:pStyle w:val="10"/>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60" w:lineRule="exact"/>
        <w:ind w:firstLine="470" w:firstLineChars="147"/>
        <w:jc w:val="both"/>
        <w:textAlignment w:val="auto"/>
        <w:rPr>
          <w:rFonts w:ascii="Times New Roman" w:hAnsi="Times New Roman" w:eastAsia="仿宋_GB2312"/>
          <w:bCs/>
          <w:color w:val="auto"/>
          <w:sz w:val="32"/>
          <w:szCs w:val="32"/>
          <w:highlight w:val="none"/>
        </w:rPr>
      </w:pPr>
      <w:r>
        <w:rPr>
          <w:rFonts w:hint="eastAsia" w:ascii="Times New Roman" w:hAnsi="Times New Roman" w:eastAsia="仿宋_GB2312"/>
          <w:bCs/>
          <w:color w:val="auto"/>
          <w:sz w:val="32"/>
          <w:szCs w:val="32"/>
          <w:highlight w:val="none"/>
        </w:rPr>
        <w:t>承担标准化组织工作奖励。</w:t>
      </w:r>
      <w:r>
        <w:rPr>
          <w:rFonts w:ascii="Times New Roman" w:hAnsi="Times New Roman" w:eastAsia="仿宋_GB2312"/>
          <w:bCs/>
          <w:color w:val="auto"/>
          <w:sz w:val="32"/>
          <w:szCs w:val="32"/>
          <w:highlight w:val="none"/>
        </w:rPr>
        <w:t>对</w:t>
      </w:r>
      <w:r>
        <w:rPr>
          <w:rFonts w:hint="eastAsia" w:ascii="Times New Roman" w:hAnsi="Times New Roman" w:eastAsia="仿宋_GB2312"/>
          <w:bCs/>
          <w:color w:val="auto"/>
          <w:sz w:val="32"/>
          <w:szCs w:val="32"/>
          <w:highlight w:val="none"/>
        </w:rPr>
        <w:t>企业</w:t>
      </w:r>
      <w:r>
        <w:rPr>
          <w:rFonts w:ascii="Times New Roman" w:hAnsi="Times New Roman" w:eastAsia="仿宋_GB2312"/>
          <w:bCs/>
          <w:color w:val="auto"/>
          <w:sz w:val="32"/>
          <w:szCs w:val="32"/>
          <w:highlight w:val="none"/>
        </w:rPr>
        <w:t>新承担国际标准化组织专业技术委员会秘书处</w:t>
      </w:r>
      <w:r>
        <w:rPr>
          <w:rFonts w:hint="eastAsia" w:ascii="Times New Roman" w:hAnsi="Times New Roman" w:eastAsia="仿宋_GB2312"/>
          <w:bCs/>
          <w:color w:val="auto"/>
          <w:sz w:val="32"/>
          <w:szCs w:val="32"/>
          <w:highlight w:val="none"/>
        </w:rPr>
        <w:t>、</w:t>
      </w:r>
      <w:r>
        <w:rPr>
          <w:rFonts w:ascii="Times New Roman" w:hAnsi="Times New Roman" w:eastAsia="仿宋_GB2312"/>
          <w:bCs/>
          <w:color w:val="auto"/>
          <w:sz w:val="32"/>
          <w:szCs w:val="32"/>
          <w:highlight w:val="none"/>
        </w:rPr>
        <w:t>分技术委员会秘书处工作的，</w:t>
      </w:r>
      <w:r>
        <w:rPr>
          <w:rFonts w:hint="eastAsia" w:ascii="Times New Roman" w:hAnsi="Times New Roman" w:eastAsia="仿宋_GB2312"/>
          <w:bCs/>
          <w:color w:val="auto"/>
          <w:sz w:val="32"/>
          <w:szCs w:val="32"/>
          <w:highlight w:val="none"/>
        </w:rPr>
        <w:t>分别</w:t>
      </w:r>
      <w:r>
        <w:rPr>
          <w:rFonts w:ascii="Times New Roman" w:hAnsi="Times New Roman" w:eastAsia="仿宋_GB2312"/>
          <w:bCs/>
          <w:color w:val="auto"/>
          <w:sz w:val="32"/>
          <w:szCs w:val="32"/>
          <w:highlight w:val="none"/>
        </w:rPr>
        <w:t>配套奖励</w:t>
      </w:r>
      <w:r>
        <w:rPr>
          <w:rFonts w:hint="eastAsia" w:ascii="Times New Roman" w:hAnsi="Times New Roman" w:eastAsia="仿宋_GB2312"/>
          <w:bCs/>
          <w:color w:val="auto"/>
          <w:sz w:val="32"/>
          <w:szCs w:val="32"/>
          <w:highlight w:val="none"/>
        </w:rPr>
        <w:t>50</w:t>
      </w:r>
      <w:r>
        <w:rPr>
          <w:rFonts w:ascii="Times New Roman" w:hAnsi="Times New Roman" w:eastAsia="仿宋_GB2312"/>
          <w:bCs/>
          <w:color w:val="auto"/>
          <w:sz w:val="32"/>
          <w:szCs w:val="32"/>
          <w:highlight w:val="none"/>
        </w:rPr>
        <w:t>万元</w:t>
      </w:r>
      <w:r>
        <w:rPr>
          <w:rFonts w:hint="eastAsia" w:ascii="Times New Roman" w:hAnsi="Times New Roman" w:eastAsia="仿宋_GB2312"/>
          <w:bCs/>
          <w:color w:val="auto"/>
          <w:sz w:val="32"/>
          <w:szCs w:val="32"/>
          <w:highlight w:val="none"/>
        </w:rPr>
        <w:t>、3</w:t>
      </w:r>
      <w:r>
        <w:rPr>
          <w:rFonts w:ascii="Times New Roman" w:hAnsi="Times New Roman" w:eastAsia="仿宋_GB2312"/>
          <w:bCs/>
          <w:color w:val="auto"/>
          <w:sz w:val="32"/>
          <w:szCs w:val="32"/>
          <w:highlight w:val="none"/>
        </w:rPr>
        <w:t>0万元。对</w:t>
      </w:r>
      <w:r>
        <w:rPr>
          <w:rFonts w:hint="eastAsia" w:ascii="Times New Roman" w:hAnsi="Times New Roman" w:eastAsia="仿宋_GB2312"/>
          <w:bCs/>
          <w:color w:val="auto"/>
          <w:sz w:val="32"/>
          <w:szCs w:val="32"/>
          <w:highlight w:val="none"/>
        </w:rPr>
        <w:t>企业</w:t>
      </w:r>
      <w:r>
        <w:rPr>
          <w:rFonts w:ascii="Times New Roman" w:hAnsi="Times New Roman" w:eastAsia="仿宋_GB2312"/>
          <w:bCs/>
          <w:color w:val="auto"/>
          <w:sz w:val="32"/>
          <w:szCs w:val="32"/>
          <w:highlight w:val="none"/>
        </w:rPr>
        <w:t>新承担全国专业标准化技术委员会秘书处</w:t>
      </w:r>
      <w:r>
        <w:rPr>
          <w:rFonts w:hint="eastAsia" w:ascii="Times New Roman" w:hAnsi="Times New Roman" w:eastAsia="仿宋_GB2312"/>
          <w:bCs/>
          <w:color w:val="auto"/>
          <w:sz w:val="32"/>
          <w:szCs w:val="32"/>
          <w:highlight w:val="none"/>
        </w:rPr>
        <w:t>、</w:t>
      </w:r>
      <w:r>
        <w:rPr>
          <w:rFonts w:ascii="Times New Roman" w:hAnsi="Times New Roman" w:eastAsia="仿宋_GB2312"/>
          <w:bCs/>
          <w:color w:val="auto"/>
          <w:sz w:val="32"/>
          <w:szCs w:val="32"/>
          <w:highlight w:val="none"/>
        </w:rPr>
        <w:t>分技术委员会秘书处工作的</w:t>
      </w:r>
      <w:r>
        <w:rPr>
          <w:rFonts w:hint="eastAsia" w:ascii="Times New Roman" w:hAnsi="Times New Roman" w:eastAsia="仿宋_GB2312"/>
          <w:bCs/>
          <w:color w:val="auto"/>
          <w:sz w:val="32"/>
          <w:szCs w:val="32"/>
          <w:highlight w:val="none"/>
        </w:rPr>
        <w:t>，分别</w:t>
      </w:r>
      <w:r>
        <w:rPr>
          <w:rFonts w:ascii="Times New Roman" w:hAnsi="Times New Roman" w:eastAsia="仿宋_GB2312"/>
          <w:bCs/>
          <w:color w:val="auto"/>
          <w:sz w:val="32"/>
          <w:szCs w:val="32"/>
          <w:highlight w:val="none"/>
        </w:rPr>
        <w:t>配套奖励</w:t>
      </w:r>
      <w:r>
        <w:rPr>
          <w:rFonts w:hint="eastAsia" w:ascii="Times New Roman" w:hAnsi="Times New Roman" w:eastAsia="仿宋_GB2312"/>
          <w:bCs/>
          <w:color w:val="auto"/>
          <w:sz w:val="32"/>
          <w:szCs w:val="32"/>
          <w:highlight w:val="none"/>
        </w:rPr>
        <w:t>25</w:t>
      </w:r>
      <w:r>
        <w:rPr>
          <w:rFonts w:ascii="Times New Roman" w:hAnsi="Times New Roman" w:eastAsia="仿宋_GB2312"/>
          <w:bCs/>
          <w:color w:val="auto"/>
          <w:sz w:val="32"/>
          <w:szCs w:val="32"/>
          <w:highlight w:val="none"/>
        </w:rPr>
        <w:t>万元</w:t>
      </w:r>
      <w:r>
        <w:rPr>
          <w:rFonts w:hint="eastAsia" w:ascii="Times New Roman" w:hAnsi="Times New Roman" w:eastAsia="仿宋_GB2312"/>
          <w:bCs/>
          <w:color w:val="auto"/>
          <w:sz w:val="32"/>
          <w:szCs w:val="32"/>
          <w:highlight w:val="none"/>
        </w:rPr>
        <w:t>、12</w:t>
      </w:r>
      <w:r>
        <w:rPr>
          <w:rFonts w:ascii="Times New Roman" w:hAnsi="Times New Roman" w:eastAsia="仿宋_GB2312"/>
          <w:bCs/>
          <w:color w:val="auto"/>
          <w:sz w:val="32"/>
          <w:szCs w:val="32"/>
          <w:highlight w:val="none"/>
        </w:rPr>
        <w:t>万元。对</w:t>
      </w:r>
      <w:r>
        <w:rPr>
          <w:rFonts w:hint="eastAsia" w:ascii="Times New Roman" w:hAnsi="Times New Roman" w:eastAsia="仿宋_GB2312"/>
          <w:bCs/>
          <w:color w:val="auto"/>
          <w:sz w:val="32"/>
          <w:szCs w:val="32"/>
          <w:highlight w:val="none"/>
        </w:rPr>
        <w:t>企业</w:t>
      </w:r>
      <w:r>
        <w:rPr>
          <w:rFonts w:ascii="Times New Roman" w:hAnsi="Times New Roman" w:eastAsia="仿宋_GB2312"/>
          <w:bCs/>
          <w:color w:val="auto"/>
          <w:sz w:val="32"/>
          <w:szCs w:val="32"/>
          <w:highlight w:val="none"/>
        </w:rPr>
        <w:t>新承担广东省专业标准化技术委员会秘书处工作的，配套奖励</w:t>
      </w:r>
      <w:r>
        <w:rPr>
          <w:rFonts w:hint="eastAsia" w:ascii="Times New Roman" w:hAnsi="Times New Roman" w:eastAsia="仿宋_GB2312"/>
          <w:bCs/>
          <w:color w:val="auto"/>
          <w:sz w:val="32"/>
          <w:szCs w:val="32"/>
          <w:highlight w:val="none"/>
        </w:rPr>
        <w:t>1</w:t>
      </w:r>
      <w:r>
        <w:rPr>
          <w:rFonts w:ascii="Times New Roman" w:hAnsi="Times New Roman" w:eastAsia="仿宋_GB2312"/>
          <w:bCs/>
          <w:color w:val="auto"/>
          <w:sz w:val="32"/>
          <w:szCs w:val="32"/>
          <w:highlight w:val="none"/>
        </w:rPr>
        <w:t>0万元。</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仿宋_GB2312" w:eastAsia="仿宋_GB2312" w:cs="仿宋_GB2312"/>
          <w:bCs/>
          <w:color w:val="auto"/>
          <w:sz w:val="21"/>
          <w:szCs w:val="21"/>
          <w:highlight w:val="none"/>
        </w:rPr>
      </w:pPr>
      <w:r>
        <w:rPr>
          <w:rFonts w:hint="eastAsia" w:ascii="黑体" w:hAnsi="黑体" w:eastAsia="黑体" w:cs="黑体"/>
          <w:bCs/>
          <w:color w:val="auto"/>
          <w:sz w:val="32"/>
          <w:szCs w:val="32"/>
          <w:highlight w:val="none"/>
        </w:rPr>
        <w:t>第八条</w:t>
      </w:r>
      <w:r>
        <w:rPr>
          <w:rFonts w:hint="eastAsia" w:ascii="黑体" w:hAnsi="黑体" w:eastAsia="黑体" w:cs="黑体"/>
          <w:b/>
          <w:color w:val="auto"/>
          <w:sz w:val="32"/>
          <w:szCs w:val="32"/>
          <w:highlight w:val="none"/>
        </w:rPr>
        <w:t xml:space="preserve"> 【</w:t>
      </w:r>
      <w:r>
        <w:rPr>
          <w:rFonts w:hint="eastAsia" w:ascii="Times New Roman" w:hAnsi="Times New Roman" w:eastAsia="仿宋_GB2312"/>
          <w:b/>
          <w:color w:val="auto"/>
          <w:sz w:val="32"/>
          <w:szCs w:val="32"/>
          <w:highlight w:val="none"/>
        </w:rPr>
        <w:t>实施名牌带动战略</w:t>
      </w:r>
      <w:r>
        <w:rPr>
          <w:rFonts w:hint="eastAsia" w:ascii="黑体" w:hAnsi="黑体" w:eastAsia="黑体" w:cs="黑体"/>
          <w:b/>
          <w:color w:val="auto"/>
          <w:sz w:val="32"/>
          <w:szCs w:val="32"/>
          <w:highlight w:val="none"/>
        </w:rPr>
        <w:t>】</w:t>
      </w:r>
      <w:r>
        <w:rPr>
          <w:rFonts w:hint="eastAsia" w:ascii="仿宋_GB2312" w:hAnsi="仿宋_GB2312" w:eastAsia="仿宋_GB2312" w:cs="仿宋_GB2312"/>
          <w:bCs/>
          <w:color w:val="auto"/>
          <w:sz w:val="32"/>
          <w:szCs w:val="32"/>
          <w:highlight w:val="none"/>
        </w:rPr>
        <w:t>鼓励企业争创名牌，引导企业增强创名牌意识，提升名牌竞争力，</w:t>
      </w:r>
      <w:r>
        <w:rPr>
          <w:rFonts w:hint="eastAsia" w:ascii="仿宋_GB2312" w:hAnsi="仿宋_GB2312" w:eastAsia="仿宋_GB2312" w:cs="仿宋_GB2312"/>
          <w:bCs/>
          <w:color w:val="auto"/>
          <w:sz w:val="32"/>
          <w:szCs w:val="32"/>
          <w:highlight w:val="none"/>
          <w:shd w:val="clear" w:color="auto" w:fill="FFFFFF"/>
        </w:rPr>
        <w:t>培育具有集聚效应的中国名牌产品。</w:t>
      </w:r>
      <w:r>
        <w:rPr>
          <w:rFonts w:ascii="Times New Roman" w:hAnsi="Times New Roman" w:eastAsia="仿宋_GB2312"/>
          <w:color w:val="auto"/>
          <w:sz w:val="32"/>
          <w:szCs w:val="32"/>
          <w:highlight w:val="none"/>
        </w:rPr>
        <w:t>对获得“中国驰名商标”称号的企业，</w:t>
      </w:r>
      <w:r>
        <w:rPr>
          <w:rFonts w:hint="eastAsia" w:ascii="Times New Roman" w:hAnsi="Times New Roman" w:eastAsia="仿宋_GB2312"/>
          <w:color w:val="auto"/>
          <w:sz w:val="32"/>
          <w:szCs w:val="32"/>
          <w:highlight w:val="none"/>
        </w:rPr>
        <w:t>给予</w:t>
      </w:r>
      <w:r>
        <w:rPr>
          <w:rFonts w:ascii="Times New Roman" w:hAnsi="Times New Roman" w:eastAsia="仿宋_GB2312"/>
          <w:color w:val="auto"/>
          <w:sz w:val="32"/>
          <w:szCs w:val="32"/>
          <w:highlight w:val="none"/>
        </w:rPr>
        <w:t>一次性</w:t>
      </w:r>
      <w:r>
        <w:rPr>
          <w:rFonts w:hint="eastAsia" w:ascii="Times New Roman" w:hAnsi="Times New Roman" w:eastAsia="仿宋_GB2312"/>
          <w:color w:val="auto"/>
          <w:sz w:val="32"/>
          <w:szCs w:val="32"/>
          <w:highlight w:val="none"/>
        </w:rPr>
        <w:t>25</w:t>
      </w:r>
      <w:r>
        <w:rPr>
          <w:rFonts w:ascii="Times New Roman" w:hAnsi="Times New Roman" w:eastAsia="仿宋_GB2312"/>
          <w:color w:val="auto"/>
          <w:sz w:val="32"/>
          <w:szCs w:val="32"/>
          <w:highlight w:val="none"/>
        </w:rPr>
        <w:t>万元奖励。</w:t>
      </w:r>
    </w:p>
    <w:p>
      <w:pPr>
        <w:pStyle w:val="10"/>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黑体" w:hAnsi="黑体" w:eastAsia="黑体" w:cs="黑体"/>
          <w:b/>
          <w:color w:val="auto"/>
          <w:sz w:val="32"/>
          <w:szCs w:val="32"/>
          <w:highlight w:val="none"/>
        </w:rPr>
      </w:pPr>
      <w:r>
        <w:rPr>
          <w:rFonts w:hint="eastAsia" w:ascii="黑体" w:hAnsi="黑体" w:eastAsia="黑体" w:cs="黑体"/>
          <w:b w:val="0"/>
          <w:bCs/>
          <w:color w:val="auto"/>
          <w:sz w:val="32"/>
          <w:szCs w:val="32"/>
          <w:highlight w:val="none"/>
          <w:lang w:val="en-US" w:eastAsia="zh-CN"/>
        </w:rPr>
        <w:t xml:space="preserve">第九条 </w:t>
      </w:r>
      <w:r>
        <w:rPr>
          <w:rFonts w:hint="eastAsia" w:ascii="黑体" w:hAnsi="黑体" w:eastAsia="黑体" w:cs="黑体"/>
          <w:b/>
          <w:color w:val="auto"/>
          <w:sz w:val="32"/>
          <w:szCs w:val="32"/>
          <w:highlight w:val="none"/>
        </w:rPr>
        <w:t>【</w:t>
      </w:r>
      <w:r>
        <w:rPr>
          <w:rFonts w:hint="eastAsia" w:ascii="Times New Roman" w:hAnsi="Times New Roman" w:eastAsia="仿宋_GB2312"/>
          <w:b/>
          <w:color w:val="auto"/>
          <w:sz w:val="32"/>
          <w:szCs w:val="32"/>
          <w:highlight w:val="none"/>
        </w:rPr>
        <w:t>实施知识产权战略</w:t>
      </w:r>
      <w:r>
        <w:rPr>
          <w:rFonts w:hint="eastAsia" w:ascii="黑体" w:hAnsi="黑体" w:eastAsia="黑体" w:cs="黑体"/>
          <w:b/>
          <w:color w:val="auto"/>
          <w:sz w:val="32"/>
          <w:szCs w:val="32"/>
          <w:highlight w:val="none"/>
        </w:rPr>
        <w:t>】</w:t>
      </w:r>
    </w:p>
    <w:p>
      <w:pPr>
        <w:pStyle w:val="10"/>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一</w:t>
      </w:r>
      <w:r>
        <w:rPr>
          <w:rFonts w:hint="eastAsia" w:ascii="Times New Roman" w:hAnsi="Times New Roman" w:eastAsia="仿宋_GB2312"/>
          <w:color w:val="auto"/>
          <w:sz w:val="32"/>
          <w:szCs w:val="32"/>
          <w:highlight w:val="none"/>
          <w:lang w:eastAsia="zh-CN"/>
        </w:rPr>
        <w:t>）专利奖配套奖励。</w:t>
      </w:r>
      <w:r>
        <w:rPr>
          <w:rFonts w:hint="eastAsia" w:ascii="Times New Roman" w:hAnsi="Times New Roman" w:eastAsia="仿宋_GB2312"/>
          <w:color w:val="auto"/>
          <w:sz w:val="32"/>
          <w:szCs w:val="32"/>
          <w:highlight w:val="none"/>
        </w:rPr>
        <w:t>对获得国家专利金奖（含外观设计金奖）、</w:t>
      </w:r>
      <w:r>
        <w:rPr>
          <w:rFonts w:hint="eastAsia" w:ascii="Times New Roman" w:hAnsi="Times New Roman" w:eastAsia="仿宋_GB2312"/>
          <w:color w:val="auto"/>
          <w:sz w:val="32"/>
          <w:szCs w:val="32"/>
          <w:highlight w:val="none"/>
          <w:lang w:val="en-US" w:eastAsia="zh-CN"/>
        </w:rPr>
        <w:t>国家</w:t>
      </w:r>
      <w:r>
        <w:rPr>
          <w:rFonts w:hint="eastAsia" w:ascii="Times New Roman" w:hAnsi="Times New Roman" w:eastAsia="仿宋_GB2312"/>
          <w:color w:val="auto"/>
          <w:sz w:val="32"/>
          <w:szCs w:val="32"/>
          <w:highlight w:val="none"/>
        </w:rPr>
        <w:t>专利银奖（含外观设计银奖）</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省专利金奖的项目，分别</w:t>
      </w:r>
      <w:r>
        <w:rPr>
          <w:rFonts w:hint="eastAsia" w:ascii="Times New Roman" w:hAnsi="Times New Roman" w:eastAsia="仿宋_GB2312"/>
          <w:color w:val="auto"/>
          <w:sz w:val="32"/>
          <w:szCs w:val="32"/>
          <w:highlight w:val="none"/>
          <w:lang w:val="en-US" w:eastAsia="zh-CN"/>
        </w:rPr>
        <w:t>给予一次性50</w:t>
      </w:r>
      <w:r>
        <w:rPr>
          <w:rFonts w:hint="eastAsia" w:ascii="Times New Roman" w:hAnsi="Times New Roman" w:eastAsia="仿宋_GB2312"/>
          <w:color w:val="auto"/>
          <w:sz w:val="32"/>
          <w:szCs w:val="32"/>
          <w:highlight w:val="none"/>
        </w:rPr>
        <w:t>万元、</w:t>
      </w:r>
      <w:r>
        <w:rPr>
          <w:rFonts w:hint="eastAsia" w:ascii="Times New Roman" w:hAnsi="Times New Roman" w:eastAsia="仿宋_GB2312"/>
          <w:color w:val="auto"/>
          <w:sz w:val="32"/>
          <w:szCs w:val="32"/>
          <w:highlight w:val="none"/>
          <w:lang w:val="en-US" w:eastAsia="zh-CN"/>
        </w:rPr>
        <w:t>8</w:t>
      </w:r>
      <w:r>
        <w:rPr>
          <w:rFonts w:hint="eastAsia" w:ascii="Times New Roman" w:hAnsi="Times New Roman" w:eastAsia="仿宋_GB2312"/>
          <w:color w:val="auto"/>
          <w:sz w:val="32"/>
          <w:szCs w:val="32"/>
          <w:highlight w:val="none"/>
        </w:rPr>
        <w:t>万元</w:t>
      </w:r>
      <w:r>
        <w:rPr>
          <w:rFonts w:hint="eastAsia" w:ascii="Times New Roman" w:hAnsi="Times New Roman" w:eastAsia="仿宋_GB2312"/>
          <w:color w:val="auto"/>
          <w:sz w:val="32"/>
          <w:szCs w:val="32"/>
          <w:highlight w:val="none"/>
          <w:lang w:val="en-US" w:eastAsia="zh-CN"/>
        </w:rPr>
        <w:t>和8万元配套</w:t>
      </w:r>
      <w:r>
        <w:rPr>
          <w:rFonts w:hint="eastAsia" w:ascii="Times New Roman" w:hAnsi="Times New Roman" w:eastAsia="仿宋_GB2312"/>
          <w:color w:val="auto"/>
          <w:sz w:val="32"/>
          <w:szCs w:val="32"/>
          <w:highlight w:val="none"/>
        </w:rPr>
        <w:t>奖励。</w:t>
      </w:r>
    </w:p>
    <w:p>
      <w:pPr>
        <w:pStyle w:val="10"/>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heme="minorEastAsia" w:hAnsiTheme="minorEastAsia" w:cstheme="minorEastAsia"/>
          <w:color w:val="auto"/>
          <w:sz w:val="21"/>
          <w:szCs w:val="21"/>
          <w:highlight w:val="none"/>
        </w:rPr>
      </w:pP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二</w:t>
      </w:r>
      <w:r>
        <w:rPr>
          <w:rFonts w:hint="eastAsia" w:ascii="仿宋_GB2312" w:hAnsi="仿宋_GB2312" w:eastAsia="仿宋_GB2312" w:cs="仿宋_GB2312"/>
          <w:bCs/>
          <w:color w:val="auto"/>
          <w:sz w:val="32"/>
          <w:szCs w:val="32"/>
          <w:highlight w:val="none"/>
          <w:lang w:eastAsia="zh-CN"/>
        </w:rPr>
        <w:t>）高价值专利培育项目</w:t>
      </w:r>
      <w:r>
        <w:rPr>
          <w:rFonts w:hint="eastAsia" w:ascii="仿宋_GB2312" w:hAnsi="仿宋_GB2312" w:eastAsia="仿宋_GB2312" w:cs="仿宋_GB2312"/>
          <w:bCs/>
          <w:color w:val="auto"/>
          <w:sz w:val="32"/>
          <w:szCs w:val="32"/>
          <w:highlight w:val="none"/>
          <w:lang w:val="en-US" w:eastAsia="zh-CN"/>
        </w:rPr>
        <w:t>奖励。</w:t>
      </w:r>
      <w:r>
        <w:rPr>
          <w:rFonts w:hint="eastAsia" w:ascii="仿宋_GB2312" w:hAnsi="仿宋_GB2312" w:eastAsia="仿宋_GB2312" w:cs="仿宋_GB2312"/>
          <w:bCs/>
          <w:color w:val="auto"/>
          <w:sz w:val="32"/>
          <w:szCs w:val="32"/>
          <w:highlight w:val="none"/>
        </w:rPr>
        <w:t>鼓励企业开展</w:t>
      </w:r>
      <w:r>
        <w:rPr>
          <w:rFonts w:ascii="Times New Roman" w:hAnsi="Times New Roman" w:eastAsia="仿宋_GB2312"/>
          <w:color w:val="auto"/>
          <w:sz w:val="32"/>
          <w:szCs w:val="32"/>
          <w:highlight w:val="none"/>
        </w:rPr>
        <w:t>高价值专利培育项目</w:t>
      </w:r>
      <w:r>
        <w:rPr>
          <w:rFonts w:hint="eastAsia" w:ascii="Times New Roman" w:hAnsi="Times New Roman" w:eastAsia="仿宋_GB2312"/>
          <w:color w:val="auto"/>
          <w:sz w:val="32"/>
          <w:szCs w:val="32"/>
          <w:highlight w:val="none"/>
        </w:rPr>
        <w:t>，对获得</w:t>
      </w:r>
      <w:r>
        <w:rPr>
          <w:rFonts w:hint="eastAsia" w:ascii="Times New Roman" w:hAnsi="Times New Roman" w:eastAsia="仿宋_GB2312"/>
          <w:color w:val="auto"/>
          <w:sz w:val="32"/>
          <w:szCs w:val="32"/>
          <w:highlight w:val="none"/>
          <w:lang w:val="en-US" w:eastAsia="zh-CN"/>
        </w:rPr>
        <w:t>市</w:t>
      </w:r>
      <w:r>
        <w:rPr>
          <w:rFonts w:ascii="Times New Roman" w:hAnsi="Times New Roman" w:eastAsia="仿宋_GB2312"/>
          <w:color w:val="auto"/>
          <w:sz w:val="32"/>
          <w:szCs w:val="32"/>
          <w:highlight w:val="none"/>
        </w:rPr>
        <w:t>市场监管局</w:t>
      </w:r>
      <w:r>
        <w:rPr>
          <w:rFonts w:hint="eastAsia" w:ascii="Times New Roman" w:hAnsi="Times New Roman" w:eastAsia="仿宋_GB2312"/>
          <w:color w:val="auto"/>
          <w:sz w:val="32"/>
          <w:szCs w:val="32"/>
          <w:highlight w:val="none"/>
        </w:rPr>
        <w:t>“知识产权战略专项资金”扶持的</w:t>
      </w:r>
      <w:r>
        <w:rPr>
          <w:rFonts w:ascii="Times New Roman" w:hAnsi="Times New Roman" w:eastAsia="仿宋_GB2312"/>
          <w:color w:val="auto"/>
          <w:sz w:val="32"/>
          <w:szCs w:val="32"/>
          <w:highlight w:val="none"/>
        </w:rPr>
        <w:t>高价值专利培育项目</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按照市</w:t>
      </w:r>
      <w:r>
        <w:rPr>
          <w:rFonts w:hint="eastAsia" w:ascii="Times New Roman" w:hAnsi="Times New Roman" w:eastAsia="仿宋_GB2312"/>
          <w:color w:val="auto"/>
          <w:sz w:val="32"/>
          <w:szCs w:val="32"/>
          <w:highlight w:val="none"/>
        </w:rPr>
        <w:t>财政</w:t>
      </w:r>
      <w:r>
        <w:rPr>
          <w:rFonts w:ascii="Times New Roman" w:hAnsi="Times New Roman" w:eastAsia="仿宋_GB2312"/>
          <w:color w:val="auto"/>
          <w:sz w:val="32"/>
          <w:szCs w:val="32"/>
          <w:highlight w:val="none"/>
        </w:rPr>
        <w:t>资助金额</w:t>
      </w:r>
      <w:r>
        <w:rPr>
          <w:rFonts w:hint="eastAsia" w:ascii="Times New Roman" w:hAnsi="Times New Roman" w:eastAsia="仿宋_GB2312"/>
          <w:color w:val="auto"/>
          <w:sz w:val="32"/>
          <w:szCs w:val="32"/>
          <w:highlight w:val="none"/>
        </w:rPr>
        <w:t>不高于</w:t>
      </w:r>
      <w:r>
        <w:rPr>
          <w:rFonts w:ascii="Times New Roman" w:hAnsi="Times New Roman" w:eastAsia="仿宋_GB2312"/>
          <w:color w:val="auto"/>
          <w:sz w:val="32"/>
          <w:szCs w:val="32"/>
          <w:highlight w:val="none"/>
        </w:rPr>
        <w:t>1:0.5比例给予一次性配套奖励</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专利导航项目、专利信息服务平台项目每项</w:t>
      </w:r>
      <w:r>
        <w:rPr>
          <w:rFonts w:hint="eastAsia" w:ascii="Times New Roman" w:hAnsi="Times New Roman" w:eastAsia="仿宋_GB2312"/>
          <w:color w:val="auto"/>
          <w:sz w:val="32"/>
          <w:szCs w:val="32"/>
          <w:highlight w:val="none"/>
        </w:rPr>
        <w:t>最高奖励25</w:t>
      </w:r>
      <w:r>
        <w:rPr>
          <w:rFonts w:ascii="Times New Roman" w:hAnsi="Times New Roman" w:eastAsia="仿宋_GB2312"/>
          <w:color w:val="auto"/>
          <w:sz w:val="32"/>
          <w:szCs w:val="32"/>
          <w:highlight w:val="none"/>
        </w:rPr>
        <w:t>万元</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专利研究项目每项</w:t>
      </w:r>
      <w:r>
        <w:rPr>
          <w:rFonts w:hint="eastAsia" w:ascii="Times New Roman" w:hAnsi="Times New Roman" w:eastAsia="仿宋_GB2312"/>
          <w:color w:val="auto"/>
          <w:sz w:val="32"/>
          <w:szCs w:val="32"/>
          <w:highlight w:val="none"/>
        </w:rPr>
        <w:t>最高奖励1</w:t>
      </w:r>
      <w:r>
        <w:rPr>
          <w:rFonts w:ascii="Times New Roman" w:hAnsi="Times New Roman" w:eastAsia="仿宋_GB2312"/>
          <w:color w:val="auto"/>
          <w:sz w:val="32"/>
          <w:szCs w:val="32"/>
          <w:highlight w:val="none"/>
        </w:rPr>
        <w:t>0万元。</w:t>
      </w:r>
    </w:p>
    <w:p>
      <w:pPr>
        <w:pStyle w:val="11"/>
        <w:keepNext w:val="0"/>
        <w:keepLines w:val="0"/>
        <w:pageBreakBefore w:val="0"/>
        <w:kinsoku/>
        <w:wordWrap/>
        <w:overflowPunct/>
        <w:topLinePunct w:val="0"/>
        <w:autoSpaceDE/>
        <w:autoSpaceDN/>
        <w:bidi w:val="0"/>
        <w:adjustRightInd/>
        <w:snapToGrid/>
        <w:spacing w:line="560" w:lineRule="exact"/>
        <w:textAlignment w:val="auto"/>
        <w:rPr>
          <w:rFonts w:eastAsia="黑体"/>
          <w:color w:val="auto"/>
          <w:highlight w:val="none"/>
        </w:rPr>
      </w:pPr>
      <w:r>
        <w:rPr>
          <w:rFonts w:hint="eastAsia" w:ascii="黑体" w:hAnsi="黑体" w:eastAsia="黑体" w:cs="黑体"/>
          <w:color w:val="auto"/>
          <w:szCs w:val="32"/>
          <w:highlight w:val="none"/>
        </w:rPr>
        <w:t xml:space="preserve">第十条 </w:t>
      </w:r>
      <w:r>
        <w:rPr>
          <w:rFonts w:hint="eastAsia" w:ascii="仿宋_GB2312" w:hAnsi="仿宋_GB2312" w:cs="仿宋_GB2312"/>
          <w:b/>
          <w:bCs w:val="0"/>
          <w:color w:val="auto"/>
          <w:highlight w:val="none"/>
        </w:rPr>
        <w:t>【附则】</w:t>
      </w:r>
    </w:p>
    <w:p>
      <w:pPr>
        <w:pStyle w:val="11"/>
        <w:keepNext w:val="0"/>
        <w:keepLines w:val="0"/>
        <w:pageBreakBefore w:val="0"/>
        <w:kinsoku/>
        <w:wordWrap/>
        <w:overflowPunct/>
        <w:topLinePunct w:val="0"/>
        <w:autoSpaceDE/>
        <w:autoSpaceDN/>
        <w:bidi w:val="0"/>
        <w:adjustRightInd/>
        <w:snapToGrid/>
        <w:spacing w:line="560" w:lineRule="exact"/>
        <w:textAlignment w:val="auto"/>
        <w:rPr>
          <w:rFonts w:hint="eastAsia" w:cs="Times New Roman"/>
          <w:color w:val="auto"/>
          <w:highlight w:val="none"/>
        </w:rPr>
      </w:pPr>
      <w:r>
        <w:rPr>
          <w:rFonts w:hint="eastAsia"/>
          <w:color w:val="auto"/>
          <w:highlight w:val="none"/>
        </w:rPr>
        <w:t>（</w:t>
      </w:r>
      <w:r>
        <w:rPr>
          <w:rFonts w:hint="eastAsia"/>
          <w:color w:val="auto"/>
          <w:highlight w:val="none"/>
          <w:lang w:val="en-US" w:eastAsia="zh-CN"/>
        </w:rPr>
        <w:t>一</w:t>
      </w:r>
      <w:r>
        <w:rPr>
          <w:rFonts w:hint="eastAsia"/>
          <w:color w:val="auto"/>
          <w:highlight w:val="none"/>
        </w:rPr>
        <w:t>）本办法涉及的国家、省、市级配套奖励以</w:t>
      </w:r>
      <w:r>
        <w:rPr>
          <w:rFonts w:hint="eastAsia"/>
          <w:color w:val="auto"/>
          <w:highlight w:val="none"/>
          <w:lang w:val="en-US" w:eastAsia="zh-CN"/>
        </w:rPr>
        <w:t>国家</w:t>
      </w:r>
      <w:r>
        <w:rPr>
          <w:rFonts w:hint="eastAsia"/>
          <w:color w:val="auto"/>
          <w:highlight w:val="none"/>
        </w:rPr>
        <w:t>、省、市财政资金下拨文件为准。同一事项符合本办法规定同时符合东莞及新区现行其它</w:t>
      </w:r>
      <w:r>
        <w:rPr>
          <w:rFonts w:hint="eastAsia"/>
          <w:color w:val="auto"/>
          <w:highlight w:val="none"/>
          <w:lang w:val="en-US" w:eastAsia="zh-CN"/>
        </w:rPr>
        <w:t>扶</w:t>
      </w:r>
      <w:r>
        <w:rPr>
          <w:rFonts w:hint="eastAsia"/>
          <w:color w:val="auto"/>
          <w:highlight w:val="none"/>
        </w:rPr>
        <w:t>持政策规定</w:t>
      </w:r>
      <w:r>
        <w:rPr>
          <w:rFonts w:hint="eastAsia"/>
          <w:color w:val="auto"/>
          <w:highlight w:val="none"/>
          <w:lang w:eastAsia="zh-CN"/>
        </w:rPr>
        <w:t>（</w:t>
      </w:r>
      <w:r>
        <w:rPr>
          <w:rFonts w:hint="eastAsia"/>
          <w:color w:val="auto"/>
          <w:highlight w:val="none"/>
        </w:rPr>
        <w:t>含上级部门要求新区配套或负担资金的</w:t>
      </w:r>
      <w:r>
        <w:rPr>
          <w:rFonts w:hint="eastAsia"/>
          <w:color w:val="auto"/>
          <w:highlight w:val="none"/>
          <w:lang w:val="en-US" w:eastAsia="zh-CN"/>
        </w:rPr>
        <w:t>政策</w:t>
      </w:r>
      <w:r>
        <w:rPr>
          <w:rFonts w:hint="eastAsia"/>
          <w:color w:val="auto"/>
          <w:highlight w:val="none"/>
        </w:rPr>
        <w:t>规定</w:t>
      </w:r>
      <w:r>
        <w:rPr>
          <w:rFonts w:hint="eastAsia"/>
          <w:color w:val="auto"/>
          <w:highlight w:val="none"/>
          <w:lang w:eastAsia="zh-CN"/>
        </w:rPr>
        <w:t>）</w:t>
      </w:r>
      <w:r>
        <w:rPr>
          <w:rFonts w:hint="eastAsia"/>
          <w:color w:val="auto"/>
          <w:highlight w:val="none"/>
        </w:rPr>
        <w:t>的，按照从高不重复的原则享受政策待遇，重复部分予以核减，另有规定的除外</w:t>
      </w:r>
      <w:r>
        <w:rPr>
          <w:rFonts w:hint="eastAsia"/>
          <w:color w:val="auto"/>
          <w:szCs w:val="32"/>
          <w:highlight w:val="none"/>
          <w:lang w:eastAsia="zh-CN"/>
        </w:rPr>
        <w:t>。</w:t>
      </w:r>
      <w:r>
        <w:rPr>
          <w:rFonts w:hint="eastAsia" w:cs="Times New Roman"/>
          <w:color w:val="auto"/>
          <w:highlight w:val="none"/>
        </w:rPr>
        <w:t>同一主体不得因同一事由重复享受本办法规定的多项优惠政策。同一主体因同一事由获得国家、省、市、新区各级奖励累计不得超过该事项实际总投入的75%。同一主体在新区获得的扶持总额原则上不超过其对本区的地方经济发展贡献。获得奖励的涉税支出由企业或个人承担。</w:t>
      </w:r>
    </w:p>
    <w:p>
      <w:pPr>
        <w:pStyle w:val="11"/>
        <w:keepNext w:val="0"/>
        <w:keepLines w:val="0"/>
        <w:pageBreakBefore w:val="0"/>
        <w:kinsoku/>
        <w:wordWrap/>
        <w:overflowPunct/>
        <w:topLinePunct w:val="0"/>
        <w:autoSpaceDE/>
        <w:autoSpaceDN/>
        <w:bidi w:val="0"/>
        <w:adjustRightInd/>
        <w:snapToGrid/>
        <w:spacing w:line="560" w:lineRule="exact"/>
        <w:textAlignment w:val="auto"/>
        <w:rPr>
          <w:rFonts w:hint="eastAsia"/>
          <w:color w:val="auto"/>
          <w:highlight w:val="none"/>
        </w:rPr>
      </w:pPr>
      <w:r>
        <w:rPr>
          <w:rFonts w:hint="eastAsia"/>
          <w:color w:val="auto"/>
          <w:szCs w:val="32"/>
          <w:highlight w:val="none"/>
        </w:rPr>
        <w:t>（</w:t>
      </w:r>
      <w:r>
        <w:rPr>
          <w:rFonts w:hint="eastAsia"/>
          <w:color w:val="auto"/>
          <w:szCs w:val="32"/>
          <w:highlight w:val="none"/>
          <w:lang w:val="en-US" w:eastAsia="zh-CN"/>
        </w:rPr>
        <w:t>二</w:t>
      </w:r>
      <w:r>
        <w:rPr>
          <w:rFonts w:hint="eastAsia"/>
          <w:color w:val="auto"/>
          <w:szCs w:val="32"/>
          <w:highlight w:val="none"/>
        </w:rPr>
        <w:t>）</w:t>
      </w:r>
      <w:r>
        <w:rPr>
          <w:rFonts w:hint="eastAsia"/>
          <w:color w:val="auto"/>
          <w:szCs w:val="32"/>
          <w:highlight w:val="none"/>
          <w:lang w:val="en-US" w:eastAsia="zh-CN"/>
        </w:rPr>
        <w:t>新区将根据企业实际需求开展本办法政策申报，</w:t>
      </w:r>
      <w:r>
        <w:rPr>
          <w:rFonts w:hint="eastAsia"/>
          <w:color w:val="auto"/>
          <w:szCs w:val="32"/>
          <w:highlight w:val="none"/>
        </w:rPr>
        <w:t>具体</w:t>
      </w:r>
      <w:r>
        <w:rPr>
          <w:rFonts w:hint="eastAsia"/>
          <w:color w:val="auto"/>
          <w:szCs w:val="32"/>
          <w:highlight w:val="none"/>
          <w:lang w:val="en-US" w:eastAsia="zh-CN"/>
        </w:rPr>
        <w:t>奖励</w:t>
      </w:r>
      <w:r>
        <w:rPr>
          <w:rFonts w:hint="eastAsia"/>
          <w:color w:val="auto"/>
          <w:szCs w:val="32"/>
          <w:highlight w:val="none"/>
        </w:rPr>
        <w:t>条件、申报程序等</w:t>
      </w:r>
      <w:r>
        <w:rPr>
          <w:rFonts w:hint="eastAsia"/>
          <w:color w:val="auto"/>
          <w:szCs w:val="32"/>
          <w:highlight w:val="none"/>
          <w:lang w:val="en-US" w:eastAsia="zh-CN"/>
        </w:rPr>
        <w:t>将在申报指南中明确</w:t>
      </w:r>
      <w:r>
        <w:rPr>
          <w:rFonts w:hint="eastAsia"/>
          <w:color w:val="auto"/>
          <w:szCs w:val="32"/>
          <w:highlight w:val="none"/>
        </w:rPr>
        <w:t>。为保证资金使用绩效，新区可根据每年预算规模和申报数量，在</w:t>
      </w:r>
      <w:r>
        <w:rPr>
          <w:rFonts w:hint="eastAsia"/>
          <w:color w:val="auto"/>
          <w:szCs w:val="32"/>
          <w:highlight w:val="none"/>
          <w:lang w:val="en-US" w:eastAsia="zh-CN"/>
        </w:rPr>
        <w:t>申报指南</w:t>
      </w:r>
      <w:r>
        <w:rPr>
          <w:rFonts w:hint="eastAsia"/>
          <w:color w:val="auto"/>
          <w:szCs w:val="32"/>
          <w:highlight w:val="none"/>
        </w:rPr>
        <w:t>规定限额内，以合理的方式确定受</w:t>
      </w:r>
      <w:r>
        <w:rPr>
          <w:rFonts w:hint="eastAsia"/>
          <w:color w:val="auto"/>
          <w:szCs w:val="32"/>
          <w:highlight w:val="none"/>
          <w:lang w:val="en-US" w:eastAsia="zh-CN"/>
        </w:rPr>
        <w:t>奖励</w:t>
      </w:r>
      <w:r>
        <w:rPr>
          <w:rFonts w:hint="eastAsia"/>
          <w:color w:val="auto"/>
          <w:szCs w:val="32"/>
          <w:highlight w:val="none"/>
        </w:rPr>
        <w:t>企业（项目）数量以及最终</w:t>
      </w:r>
      <w:r>
        <w:rPr>
          <w:rFonts w:hint="eastAsia"/>
          <w:color w:val="auto"/>
          <w:szCs w:val="32"/>
          <w:highlight w:val="none"/>
          <w:lang w:val="en-US" w:eastAsia="zh-CN"/>
        </w:rPr>
        <w:t>奖励</w:t>
      </w:r>
      <w:r>
        <w:rPr>
          <w:rFonts w:hint="eastAsia"/>
          <w:color w:val="auto"/>
          <w:szCs w:val="32"/>
          <w:highlight w:val="none"/>
        </w:rPr>
        <w:t>金额。对引进的特别重大或有突出贡献的企业（项目），</w:t>
      </w:r>
      <w:r>
        <w:rPr>
          <w:rFonts w:hint="eastAsia"/>
          <w:color w:val="auto"/>
          <w:szCs w:val="32"/>
          <w:highlight w:val="none"/>
          <w:lang w:val="en-US" w:eastAsia="zh-CN"/>
        </w:rPr>
        <w:t>可</w:t>
      </w:r>
      <w:r>
        <w:rPr>
          <w:rFonts w:hint="eastAsia"/>
          <w:color w:val="auto"/>
          <w:szCs w:val="32"/>
          <w:highlight w:val="none"/>
        </w:rPr>
        <w:t>按“一事一议”方式</w:t>
      </w:r>
      <w:r>
        <w:rPr>
          <w:rFonts w:hint="eastAsia"/>
          <w:color w:val="auto"/>
          <w:highlight w:val="none"/>
        </w:rPr>
        <w:t>研究给予</w:t>
      </w:r>
      <w:r>
        <w:rPr>
          <w:rFonts w:hint="eastAsia"/>
          <w:color w:val="auto"/>
          <w:highlight w:val="none"/>
          <w:lang w:val="en-US" w:eastAsia="zh-CN"/>
        </w:rPr>
        <w:t>特别扶持</w:t>
      </w:r>
      <w:r>
        <w:rPr>
          <w:rFonts w:hint="eastAsia"/>
          <w:color w:val="auto"/>
          <w:highlight w:val="none"/>
        </w:rPr>
        <w:t>。</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三</w:t>
      </w:r>
      <w:r>
        <w:rPr>
          <w:rFonts w:hint="eastAsia"/>
          <w:color w:val="auto"/>
          <w:highlight w:val="none"/>
          <w:lang w:eastAsia="zh-CN"/>
        </w:rPr>
        <w:t>）获得本办法扶持的单位或个人必须严格按照相关规定安排和使用资金，自觉接受新区财政、审计及科技部门的监督检查，对弄虚作假、骗取财政资金支持的单位和个人，新区将依法依规做出相应的处罚。</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sz w:val="32"/>
          <w:szCs w:val="32"/>
          <w:highlight w:val="none"/>
        </w:rPr>
      </w:pPr>
      <w:r>
        <w:rPr>
          <w:rFonts w:hint="eastAsia"/>
          <w:color w:val="auto"/>
          <w:highlight w:val="none"/>
          <w:lang w:eastAsia="zh-CN"/>
        </w:rPr>
        <w:t>（</w:t>
      </w:r>
      <w:r>
        <w:rPr>
          <w:rFonts w:hint="eastAsia"/>
          <w:color w:val="auto"/>
          <w:highlight w:val="none"/>
          <w:lang w:val="en-US" w:eastAsia="zh-CN"/>
        </w:rPr>
        <w:t>四</w:t>
      </w:r>
      <w:r>
        <w:rPr>
          <w:rFonts w:hint="eastAsia"/>
          <w:color w:val="auto"/>
          <w:highlight w:val="none"/>
          <w:lang w:eastAsia="zh-CN"/>
        </w:rPr>
        <w:t>）本办法由东莞滨海湾新区管理委员会负责解释，自印发之日起实施，有效期至2025年12月31日。</w:t>
      </w:r>
      <w:r>
        <w:rPr>
          <w:rFonts w:hint="eastAsia"/>
          <w:color w:val="auto"/>
          <w:highlight w:val="none"/>
          <w:lang w:val="en-US" w:eastAsia="zh-CN"/>
        </w:rPr>
        <w:t>原《东莞滨海湾新区促进经济高质量发展扶持办法》</w:t>
      </w:r>
      <w:r>
        <w:rPr>
          <w:rFonts w:hint="eastAsia" w:ascii="Times New Roman" w:hAnsi="Times New Roman"/>
          <w:szCs w:val="32"/>
          <w:lang w:val="en-US" w:eastAsia="zh-CN"/>
        </w:rPr>
        <w:t>（滨海湾发〔202</w:t>
      </w:r>
      <w:r>
        <w:rPr>
          <w:rFonts w:hint="eastAsia"/>
          <w:szCs w:val="32"/>
          <w:lang w:val="en-US" w:eastAsia="zh-CN"/>
        </w:rPr>
        <w:t>0</w:t>
      </w:r>
      <w:r>
        <w:rPr>
          <w:rFonts w:hint="eastAsia" w:ascii="Times New Roman" w:hAnsi="Times New Roman"/>
          <w:szCs w:val="32"/>
          <w:lang w:val="en-US" w:eastAsia="zh-CN"/>
        </w:rPr>
        <w:t>〕</w:t>
      </w:r>
      <w:r>
        <w:rPr>
          <w:rFonts w:hint="eastAsia"/>
          <w:szCs w:val="32"/>
          <w:lang w:val="en-US" w:eastAsia="zh-CN"/>
        </w:rPr>
        <w:t>53</w:t>
      </w:r>
      <w:r>
        <w:rPr>
          <w:rFonts w:hint="eastAsia" w:ascii="Times New Roman" w:hAnsi="Times New Roman"/>
          <w:szCs w:val="32"/>
          <w:lang w:val="en-US" w:eastAsia="zh-CN"/>
        </w:rPr>
        <w:t>号）同时废止</w:t>
      </w:r>
      <w:r>
        <w:rPr>
          <w:rFonts w:hint="eastAsia"/>
          <w:szCs w:val="32"/>
          <w:lang w:val="en-US" w:eastAsia="zh-CN"/>
        </w:rPr>
        <w:t>。</w:t>
      </w:r>
      <w:r>
        <w:rPr>
          <w:rFonts w:hint="eastAsia"/>
          <w:color w:val="auto"/>
          <w:highlight w:val="none"/>
          <w:lang w:eastAsia="zh-CN"/>
        </w:rPr>
        <w:t>有效期满或有关法律法规、上级政策依据变化时，将根据实施情况予以评估修订。</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MingLiU">
    <w:altName w:val="PMingLiU-ExtB"/>
    <w:panose1 w:val="02010609000101010101"/>
    <w:charset w:val="88"/>
    <w:family w:val="modern"/>
    <w:pitch w:val="default"/>
    <w:sig w:usb0="00000000" w:usb1="00000000" w:usb2="00000016" w:usb3="00000000" w:csb0="0010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7060658"/>
    </w:sdtPr>
    <w:sdtContent>
      <w:p>
        <w:pPr>
          <w:pStyle w:val="8"/>
        </w:pPr>
      </w:p>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8"/>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v:shape>
              </w:pict>
            </mc:Fallback>
          </mc:AlternateConten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56757F"/>
    <w:multiLevelType w:val="singleLevel"/>
    <w:tmpl w:val="4756757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75B9"/>
    <w:rsid w:val="00055C02"/>
    <w:rsid w:val="0006750A"/>
    <w:rsid w:val="000A0E92"/>
    <w:rsid w:val="000B3F90"/>
    <w:rsid w:val="000D28DB"/>
    <w:rsid w:val="000D3D4D"/>
    <w:rsid w:val="000F0580"/>
    <w:rsid w:val="001200D1"/>
    <w:rsid w:val="00130A3E"/>
    <w:rsid w:val="00143644"/>
    <w:rsid w:val="00165923"/>
    <w:rsid w:val="001A3EFE"/>
    <w:rsid w:val="001B5BD7"/>
    <w:rsid w:val="001C0C22"/>
    <w:rsid w:val="001C2DF4"/>
    <w:rsid w:val="00236B4B"/>
    <w:rsid w:val="00260EDF"/>
    <w:rsid w:val="00261688"/>
    <w:rsid w:val="002A347E"/>
    <w:rsid w:val="002C3066"/>
    <w:rsid w:val="002C3A39"/>
    <w:rsid w:val="002C6592"/>
    <w:rsid w:val="002D0B86"/>
    <w:rsid w:val="002E7248"/>
    <w:rsid w:val="00337DB5"/>
    <w:rsid w:val="0035081F"/>
    <w:rsid w:val="0035723C"/>
    <w:rsid w:val="00390299"/>
    <w:rsid w:val="00393D80"/>
    <w:rsid w:val="003A1C78"/>
    <w:rsid w:val="003A6568"/>
    <w:rsid w:val="003B3CF9"/>
    <w:rsid w:val="003B6082"/>
    <w:rsid w:val="003D645D"/>
    <w:rsid w:val="004074D2"/>
    <w:rsid w:val="00416DC8"/>
    <w:rsid w:val="004351F6"/>
    <w:rsid w:val="00460E7C"/>
    <w:rsid w:val="00494E39"/>
    <w:rsid w:val="004D79D3"/>
    <w:rsid w:val="004E2DBA"/>
    <w:rsid w:val="004F3655"/>
    <w:rsid w:val="004F7CC1"/>
    <w:rsid w:val="00514F4C"/>
    <w:rsid w:val="00554296"/>
    <w:rsid w:val="00581CC5"/>
    <w:rsid w:val="005A5EDE"/>
    <w:rsid w:val="005B3074"/>
    <w:rsid w:val="005C77C8"/>
    <w:rsid w:val="00614AE1"/>
    <w:rsid w:val="00623C6F"/>
    <w:rsid w:val="00645B9C"/>
    <w:rsid w:val="006B1262"/>
    <w:rsid w:val="006B3CB5"/>
    <w:rsid w:val="006B4528"/>
    <w:rsid w:val="0070063D"/>
    <w:rsid w:val="0071337B"/>
    <w:rsid w:val="007478D1"/>
    <w:rsid w:val="007745FE"/>
    <w:rsid w:val="00795B88"/>
    <w:rsid w:val="007C12EB"/>
    <w:rsid w:val="007E44E1"/>
    <w:rsid w:val="007E4C05"/>
    <w:rsid w:val="00813115"/>
    <w:rsid w:val="008420F9"/>
    <w:rsid w:val="008513AE"/>
    <w:rsid w:val="008525D6"/>
    <w:rsid w:val="008579F2"/>
    <w:rsid w:val="00882266"/>
    <w:rsid w:val="008862C0"/>
    <w:rsid w:val="00897C0D"/>
    <w:rsid w:val="008E25AD"/>
    <w:rsid w:val="0090230F"/>
    <w:rsid w:val="00911AD3"/>
    <w:rsid w:val="009124DB"/>
    <w:rsid w:val="0091361B"/>
    <w:rsid w:val="00922473"/>
    <w:rsid w:val="00934110"/>
    <w:rsid w:val="0098282D"/>
    <w:rsid w:val="00991C85"/>
    <w:rsid w:val="009B360F"/>
    <w:rsid w:val="009D0438"/>
    <w:rsid w:val="009F4DFB"/>
    <w:rsid w:val="00A06281"/>
    <w:rsid w:val="00A06BB6"/>
    <w:rsid w:val="00A32063"/>
    <w:rsid w:val="00A708C8"/>
    <w:rsid w:val="00A81702"/>
    <w:rsid w:val="00A83F29"/>
    <w:rsid w:val="00AB1F66"/>
    <w:rsid w:val="00AC1BD3"/>
    <w:rsid w:val="00AD3A09"/>
    <w:rsid w:val="00AD7F46"/>
    <w:rsid w:val="00B11B34"/>
    <w:rsid w:val="00B53F17"/>
    <w:rsid w:val="00B6284C"/>
    <w:rsid w:val="00B95C44"/>
    <w:rsid w:val="00BA70D4"/>
    <w:rsid w:val="00C04EAF"/>
    <w:rsid w:val="00C06E38"/>
    <w:rsid w:val="00C50AE2"/>
    <w:rsid w:val="00C5249D"/>
    <w:rsid w:val="00C76614"/>
    <w:rsid w:val="00CA37D7"/>
    <w:rsid w:val="00CA5114"/>
    <w:rsid w:val="00CB6D50"/>
    <w:rsid w:val="00CD4D3C"/>
    <w:rsid w:val="00D063F2"/>
    <w:rsid w:val="00D30B3D"/>
    <w:rsid w:val="00D42FF8"/>
    <w:rsid w:val="00D61F63"/>
    <w:rsid w:val="00D67D7E"/>
    <w:rsid w:val="00DB3BE9"/>
    <w:rsid w:val="00DB6A4F"/>
    <w:rsid w:val="00DF3029"/>
    <w:rsid w:val="00DF6E88"/>
    <w:rsid w:val="00E221D5"/>
    <w:rsid w:val="00E2721F"/>
    <w:rsid w:val="00E44FB5"/>
    <w:rsid w:val="00E4532C"/>
    <w:rsid w:val="00E5444E"/>
    <w:rsid w:val="00E72BEB"/>
    <w:rsid w:val="00E758EA"/>
    <w:rsid w:val="00EA38CF"/>
    <w:rsid w:val="00F0287D"/>
    <w:rsid w:val="00F175F3"/>
    <w:rsid w:val="00F24B67"/>
    <w:rsid w:val="00F618A1"/>
    <w:rsid w:val="00FB7AF5"/>
    <w:rsid w:val="00FD12DB"/>
    <w:rsid w:val="00FE65CD"/>
    <w:rsid w:val="00FF50F5"/>
    <w:rsid w:val="01065FD0"/>
    <w:rsid w:val="01722212"/>
    <w:rsid w:val="01901FAA"/>
    <w:rsid w:val="0260334E"/>
    <w:rsid w:val="04292E19"/>
    <w:rsid w:val="04F41588"/>
    <w:rsid w:val="06354A50"/>
    <w:rsid w:val="06910406"/>
    <w:rsid w:val="06951D88"/>
    <w:rsid w:val="0816737B"/>
    <w:rsid w:val="082C4B6D"/>
    <w:rsid w:val="09620B15"/>
    <w:rsid w:val="0ADB5905"/>
    <w:rsid w:val="0B475D49"/>
    <w:rsid w:val="0BC92CFE"/>
    <w:rsid w:val="0D7D3906"/>
    <w:rsid w:val="10764F50"/>
    <w:rsid w:val="111A3CA7"/>
    <w:rsid w:val="13EA7CEE"/>
    <w:rsid w:val="15C104AA"/>
    <w:rsid w:val="17C92805"/>
    <w:rsid w:val="181176BB"/>
    <w:rsid w:val="1BE6001B"/>
    <w:rsid w:val="1C2E14FA"/>
    <w:rsid w:val="1CBC21AE"/>
    <w:rsid w:val="1CE95FB6"/>
    <w:rsid w:val="1D2F3EE3"/>
    <w:rsid w:val="1DAF1592"/>
    <w:rsid w:val="1FAF6033"/>
    <w:rsid w:val="20831A0C"/>
    <w:rsid w:val="20DB3769"/>
    <w:rsid w:val="21017DC8"/>
    <w:rsid w:val="224C6C84"/>
    <w:rsid w:val="228E56BE"/>
    <w:rsid w:val="22D76FBF"/>
    <w:rsid w:val="253A1481"/>
    <w:rsid w:val="255C7DCA"/>
    <w:rsid w:val="27680FF4"/>
    <w:rsid w:val="27A27037"/>
    <w:rsid w:val="28336828"/>
    <w:rsid w:val="284F5322"/>
    <w:rsid w:val="29333C3D"/>
    <w:rsid w:val="29682008"/>
    <w:rsid w:val="29AA47AA"/>
    <w:rsid w:val="2AD02B45"/>
    <w:rsid w:val="2CBD2EDA"/>
    <w:rsid w:val="2D2D0CF0"/>
    <w:rsid w:val="2D917A80"/>
    <w:rsid w:val="2FE93457"/>
    <w:rsid w:val="301475AF"/>
    <w:rsid w:val="30556386"/>
    <w:rsid w:val="30C657C4"/>
    <w:rsid w:val="33285CC8"/>
    <w:rsid w:val="33A20A04"/>
    <w:rsid w:val="343C78BF"/>
    <w:rsid w:val="346574BC"/>
    <w:rsid w:val="34EF3D63"/>
    <w:rsid w:val="35336568"/>
    <w:rsid w:val="381073AD"/>
    <w:rsid w:val="382D7D12"/>
    <w:rsid w:val="38FA0DFC"/>
    <w:rsid w:val="3B75190A"/>
    <w:rsid w:val="3D70053E"/>
    <w:rsid w:val="3F925D6C"/>
    <w:rsid w:val="40317C28"/>
    <w:rsid w:val="40626844"/>
    <w:rsid w:val="42DD4ACA"/>
    <w:rsid w:val="44B27D86"/>
    <w:rsid w:val="452D60E0"/>
    <w:rsid w:val="47A24872"/>
    <w:rsid w:val="49336E29"/>
    <w:rsid w:val="4C7A0EF7"/>
    <w:rsid w:val="4D155003"/>
    <w:rsid w:val="4DD33FE3"/>
    <w:rsid w:val="4E710C7D"/>
    <w:rsid w:val="4F082C5A"/>
    <w:rsid w:val="4FA80214"/>
    <w:rsid w:val="51665BB5"/>
    <w:rsid w:val="51670776"/>
    <w:rsid w:val="5178396E"/>
    <w:rsid w:val="51E10741"/>
    <w:rsid w:val="53047AAF"/>
    <w:rsid w:val="532E510C"/>
    <w:rsid w:val="55526BAF"/>
    <w:rsid w:val="55BC514D"/>
    <w:rsid w:val="56375C38"/>
    <w:rsid w:val="579E1778"/>
    <w:rsid w:val="59361EC0"/>
    <w:rsid w:val="5C320975"/>
    <w:rsid w:val="5E300C50"/>
    <w:rsid w:val="5EA6560E"/>
    <w:rsid w:val="61473CBD"/>
    <w:rsid w:val="63ED1543"/>
    <w:rsid w:val="6542705B"/>
    <w:rsid w:val="688126A9"/>
    <w:rsid w:val="68E5371E"/>
    <w:rsid w:val="695D11C8"/>
    <w:rsid w:val="69950DCE"/>
    <w:rsid w:val="69BF187D"/>
    <w:rsid w:val="69E26D51"/>
    <w:rsid w:val="6A5E4DEC"/>
    <w:rsid w:val="6AC32AA6"/>
    <w:rsid w:val="6AFC3EFD"/>
    <w:rsid w:val="6B9C3844"/>
    <w:rsid w:val="6E3D05AA"/>
    <w:rsid w:val="6ECC0F97"/>
    <w:rsid w:val="6F220507"/>
    <w:rsid w:val="6F4110CA"/>
    <w:rsid w:val="70445165"/>
    <w:rsid w:val="73243063"/>
    <w:rsid w:val="740E60E4"/>
    <w:rsid w:val="75583984"/>
    <w:rsid w:val="7689040E"/>
    <w:rsid w:val="77E278E7"/>
    <w:rsid w:val="7A586A71"/>
    <w:rsid w:val="7A6429BA"/>
    <w:rsid w:val="7A6B32B7"/>
    <w:rsid w:val="7BAC7C6A"/>
    <w:rsid w:val="7DA250A9"/>
    <w:rsid w:val="7E222C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link w:val="17"/>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link w:val="18"/>
    <w:unhideWhenUsed/>
    <w:qFormat/>
    <w:uiPriority w:val="99"/>
    <w:pPr>
      <w:widowControl/>
      <w:spacing w:after="120" w:line="276" w:lineRule="auto"/>
      <w:jc w:val="left"/>
    </w:pPr>
    <w:rPr>
      <w:rFonts w:ascii="微软雅黑" w:hAnsi="微软雅黑" w:eastAsia="微软雅黑"/>
      <w:kern w:val="0"/>
      <w:sz w:val="22"/>
      <w:szCs w:val="22"/>
      <w:lang w:eastAsia="en-US"/>
    </w:rPr>
  </w:style>
  <w:style w:type="paragraph" w:styleId="6">
    <w:name w:val="Plain Text"/>
    <w:basedOn w:val="1"/>
    <w:link w:val="23"/>
    <w:qFormat/>
    <w:uiPriority w:val="0"/>
    <w:rPr>
      <w:rFonts w:ascii="宋体" w:hAnsi="Courier New" w:eastAsia="宋体" w:cs="Times New Roman"/>
      <w:kern w:val="0"/>
      <w:sz w:val="20"/>
      <w:szCs w:val="21"/>
    </w:rPr>
  </w:style>
  <w:style w:type="paragraph" w:styleId="7">
    <w:name w:val="Balloon Text"/>
    <w:basedOn w:val="1"/>
    <w:link w:val="24"/>
    <w:qFormat/>
    <w:uiPriority w:val="0"/>
    <w:rPr>
      <w:sz w:val="18"/>
      <w:szCs w:val="18"/>
    </w:rPr>
  </w:style>
  <w:style w:type="paragraph" w:styleId="8">
    <w:name w:val="footer"/>
    <w:basedOn w:val="1"/>
    <w:link w:val="16"/>
    <w:qFormat/>
    <w:uiPriority w:val="99"/>
    <w:pPr>
      <w:tabs>
        <w:tab w:val="center" w:pos="4153"/>
        <w:tab w:val="right" w:pos="8306"/>
      </w:tabs>
      <w:snapToGrid w:val="0"/>
      <w:jc w:val="left"/>
    </w:pPr>
    <w:rPr>
      <w:sz w:val="18"/>
      <w:szCs w:val="18"/>
    </w:rPr>
  </w:style>
  <w:style w:type="paragraph" w:styleId="9">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spacing w:beforeAutospacing="1" w:afterAutospacing="1"/>
      <w:jc w:val="left"/>
    </w:pPr>
    <w:rPr>
      <w:rFonts w:cs="Times New Roman"/>
      <w:kern w:val="0"/>
      <w:sz w:val="24"/>
    </w:rPr>
  </w:style>
  <w:style w:type="paragraph" w:styleId="11">
    <w:name w:val="Title"/>
    <w:basedOn w:val="1"/>
    <w:next w:val="1"/>
    <w:qFormat/>
    <w:uiPriority w:val="0"/>
    <w:pPr>
      <w:ind w:firstLine="640" w:firstLineChars="200"/>
      <w:outlineLvl w:val="0"/>
    </w:pPr>
    <w:rPr>
      <w:rFonts w:ascii="Times New Roman" w:hAnsi="Times New Roman" w:eastAsia="仿宋_GB2312"/>
      <w:bCs/>
      <w:sz w:val="32"/>
      <w:szCs w:val="22"/>
    </w:rPr>
  </w:style>
  <w:style w:type="character" w:styleId="14">
    <w:name w:val="Strong"/>
    <w:basedOn w:val="13"/>
    <w:qFormat/>
    <w:uiPriority w:val="99"/>
    <w:rPr>
      <w:b/>
    </w:rPr>
  </w:style>
  <w:style w:type="character" w:customStyle="1" w:styleId="15">
    <w:name w:val="页眉 字符"/>
    <w:basedOn w:val="13"/>
    <w:link w:val="9"/>
    <w:qFormat/>
    <w:uiPriority w:val="0"/>
    <w:rPr>
      <w:rFonts w:asciiTheme="minorHAnsi" w:hAnsiTheme="minorHAnsi" w:eastAsiaTheme="minorEastAsia" w:cstheme="minorBidi"/>
      <w:kern w:val="2"/>
      <w:sz w:val="18"/>
      <w:szCs w:val="18"/>
    </w:rPr>
  </w:style>
  <w:style w:type="character" w:customStyle="1" w:styleId="16">
    <w:name w:val="页脚 字符"/>
    <w:basedOn w:val="13"/>
    <w:link w:val="8"/>
    <w:qFormat/>
    <w:uiPriority w:val="99"/>
    <w:rPr>
      <w:rFonts w:asciiTheme="minorHAnsi" w:hAnsiTheme="minorHAnsi" w:eastAsiaTheme="minorEastAsia" w:cstheme="minorBidi"/>
      <w:kern w:val="2"/>
      <w:sz w:val="18"/>
      <w:szCs w:val="18"/>
    </w:rPr>
  </w:style>
  <w:style w:type="character" w:customStyle="1" w:styleId="17">
    <w:name w:val="标题 2 字符"/>
    <w:basedOn w:val="13"/>
    <w:link w:val="3"/>
    <w:semiHidden/>
    <w:qFormat/>
    <w:uiPriority w:val="0"/>
    <w:rPr>
      <w:rFonts w:asciiTheme="majorHAnsi" w:hAnsiTheme="majorHAnsi" w:eastAsiaTheme="majorEastAsia" w:cstheme="majorBidi"/>
      <w:b/>
      <w:bCs/>
      <w:kern w:val="2"/>
      <w:sz w:val="32"/>
      <w:szCs w:val="32"/>
    </w:rPr>
  </w:style>
  <w:style w:type="character" w:customStyle="1" w:styleId="18">
    <w:name w:val="正文文本 字符"/>
    <w:basedOn w:val="13"/>
    <w:link w:val="5"/>
    <w:qFormat/>
    <w:uiPriority w:val="99"/>
    <w:rPr>
      <w:rFonts w:ascii="微软雅黑" w:hAnsi="微软雅黑" w:eastAsia="微软雅黑" w:cstheme="minorBidi"/>
      <w:sz w:val="22"/>
      <w:szCs w:val="22"/>
      <w:lang w:eastAsia="en-US"/>
    </w:rPr>
  </w:style>
  <w:style w:type="paragraph" w:customStyle="1" w:styleId="19">
    <w:name w:val="leaidx"/>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20">
    <w:name w:val="正文文本 (2)_"/>
    <w:link w:val="21"/>
    <w:qFormat/>
    <w:uiPriority w:val="0"/>
    <w:rPr>
      <w:rFonts w:ascii="MingLiU" w:hAnsi="MingLiU" w:eastAsia="MingLiU" w:cs="MingLiU"/>
      <w:sz w:val="30"/>
      <w:szCs w:val="30"/>
      <w:shd w:val="clear" w:color="auto" w:fill="FFFFFF"/>
    </w:rPr>
  </w:style>
  <w:style w:type="paragraph" w:customStyle="1" w:styleId="21">
    <w:name w:val="正文文本 (2)"/>
    <w:basedOn w:val="1"/>
    <w:link w:val="20"/>
    <w:qFormat/>
    <w:uiPriority w:val="0"/>
    <w:pPr>
      <w:shd w:val="clear" w:color="auto" w:fill="FFFFFF"/>
      <w:spacing w:before="1200" w:after="1080" w:line="0" w:lineRule="atLeast"/>
      <w:jc w:val="center"/>
    </w:pPr>
    <w:rPr>
      <w:rFonts w:ascii="MingLiU" w:hAnsi="MingLiU" w:eastAsia="MingLiU" w:cs="MingLiU"/>
      <w:kern w:val="0"/>
      <w:sz w:val="30"/>
      <w:szCs w:val="30"/>
    </w:rPr>
  </w:style>
  <w:style w:type="character" w:customStyle="1" w:styleId="22">
    <w:name w:val="纯文本 Char"/>
    <w:qFormat/>
    <w:uiPriority w:val="0"/>
    <w:rPr>
      <w:rFonts w:ascii="宋体" w:hAnsi="Courier New"/>
      <w:szCs w:val="21"/>
    </w:rPr>
  </w:style>
  <w:style w:type="character" w:customStyle="1" w:styleId="23">
    <w:name w:val="纯文本 字符"/>
    <w:basedOn w:val="13"/>
    <w:link w:val="6"/>
    <w:qFormat/>
    <w:uiPriority w:val="0"/>
    <w:rPr>
      <w:rFonts w:ascii="宋体" w:hAnsi="Courier New" w:cs="Courier New"/>
      <w:kern w:val="2"/>
      <w:sz w:val="21"/>
      <w:szCs w:val="21"/>
    </w:rPr>
  </w:style>
  <w:style w:type="character" w:customStyle="1" w:styleId="24">
    <w:name w:val="批注框文本 字符"/>
    <w:basedOn w:val="13"/>
    <w:link w:val="7"/>
    <w:qFormat/>
    <w:uiPriority w:val="0"/>
    <w:rPr>
      <w:kern w:val="2"/>
      <w:sz w:val="18"/>
      <w:szCs w:val="18"/>
    </w:rPr>
  </w:style>
  <w:style w:type="paragraph" w:styleId="2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D7050E-BD72-4747-B3DF-D56F9A06B53E}">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1837</Words>
  <Characters>10471</Characters>
  <Lines>87</Lines>
  <Paragraphs>24</Paragraphs>
  <TotalTime>2</TotalTime>
  <ScaleCrop>false</ScaleCrop>
  <LinksUpToDate>false</LinksUpToDate>
  <CharactersWithSpaces>12284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2020-08-04T08:26:00Z</dcterms:created>
  <dc:creator>Lenovo</dc:creator>
  <cp:lastModifiedBy>演示人</cp:lastModifiedBy>
  <cp:lastPrinted>2024-08-07T04:02:00Z</cp:lastPrinted>
  <dcterms:modified xsi:type="dcterms:W3CDTF">2024-08-27T01:20:10Z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86313264FF1A4FC49D811CDCB5C190D6</vt:lpwstr>
  </property>
</Properties>
</file>