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B32EF">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rPr>
      </w:pPr>
      <w:r>
        <w:rPr>
          <w:rFonts w:hint="eastAsia" w:ascii="Times New Roman" w:hAnsi="Times New Roman" w:eastAsia="黑体"/>
          <w:sz w:val="32"/>
          <w:szCs w:val="32"/>
          <w:lang w:val="en-US" w:eastAsia="zh-CN"/>
        </w:rPr>
        <w:t>附件2</w:t>
      </w:r>
    </w:p>
    <w:p w14:paraId="16BF602D">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方正小标宋简体"/>
          <w:sz w:val="44"/>
          <w:szCs w:val="44"/>
          <w:highlight w:val="none"/>
          <w:lang w:val="en-US" w:eastAsia="zh-CN"/>
        </w:rPr>
      </w:pPr>
    </w:p>
    <w:p w14:paraId="30991A48">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val="en-US" w:eastAsia="zh-CN"/>
        </w:rPr>
        <w:t>东莞</w:t>
      </w:r>
      <w:r>
        <w:rPr>
          <w:rFonts w:hint="eastAsia" w:ascii="Times New Roman" w:hAnsi="Times New Roman" w:eastAsia="方正小标宋简体" w:cs="方正小标宋简体"/>
          <w:sz w:val="44"/>
          <w:szCs w:val="44"/>
          <w:highlight w:val="none"/>
        </w:rPr>
        <w:t>滨海湾新区“专精特新”企业</w:t>
      </w:r>
    </w:p>
    <w:p w14:paraId="0CA711E3">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仿宋_GB2312"/>
          <w:b/>
          <w:bCs/>
          <w:sz w:val="32"/>
          <w:szCs w:val="32"/>
          <w:lang w:val="en-US" w:eastAsia="zh-CN"/>
        </w:rPr>
      </w:pPr>
      <w:r>
        <w:rPr>
          <w:rFonts w:hint="eastAsia" w:ascii="Times New Roman" w:hAnsi="Times New Roman" w:eastAsia="方正小标宋简体" w:cs="方正小标宋简体"/>
          <w:sz w:val="44"/>
          <w:szCs w:val="44"/>
          <w:highlight w:val="none"/>
        </w:rPr>
        <w:t>认定奖励申报指南</w:t>
      </w:r>
    </w:p>
    <w:p w14:paraId="3BD32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sz w:val="32"/>
          <w:szCs w:val="32"/>
          <w:lang w:val="en-US" w:eastAsia="zh-CN"/>
        </w:rPr>
      </w:pPr>
    </w:p>
    <w:p w14:paraId="62C8C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val="en-US" w:eastAsia="zh-CN"/>
        </w:rPr>
        <w:t>一、</w:t>
      </w:r>
      <w:r>
        <w:rPr>
          <w:rFonts w:hint="eastAsia" w:ascii="Times New Roman" w:hAnsi="Times New Roman" w:eastAsia="黑体" w:cs="黑体"/>
          <w:b w:val="0"/>
          <w:bCs w:val="0"/>
          <w:sz w:val="32"/>
          <w:szCs w:val="32"/>
        </w:rPr>
        <w:t>广东省创新型中小企业（等同于市级“专精特新”企业认定</w:t>
      </w:r>
      <w:r>
        <w:rPr>
          <w:rFonts w:hint="eastAsia" w:ascii="Times New Roman" w:hAnsi="Times New Roman" w:eastAsia="黑体" w:cs="黑体"/>
          <w:b w:val="0"/>
          <w:bCs w:val="0"/>
          <w:sz w:val="32"/>
          <w:szCs w:val="32"/>
          <w:lang w:val="en-US" w:eastAsia="zh-CN"/>
        </w:rPr>
        <w:t>标准</w:t>
      </w:r>
      <w:r>
        <w:rPr>
          <w:rFonts w:hint="eastAsia" w:ascii="Times New Roman" w:hAnsi="Times New Roman" w:eastAsia="黑体" w:cs="黑体"/>
          <w:b w:val="0"/>
          <w:bCs w:val="0"/>
          <w:sz w:val="32"/>
          <w:szCs w:val="32"/>
          <w:lang w:eastAsia="zh-CN"/>
        </w:rPr>
        <w:t>）</w:t>
      </w:r>
      <w:r>
        <w:rPr>
          <w:rFonts w:hint="eastAsia" w:ascii="Times New Roman" w:hAnsi="Times New Roman" w:eastAsia="黑体" w:cs="黑体"/>
          <w:b w:val="0"/>
          <w:bCs w:val="0"/>
          <w:sz w:val="32"/>
          <w:szCs w:val="32"/>
        </w:rPr>
        <w:t>认定奖励</w:t>
      </w:r>
    </w:p>
    <w:p w14:paraId="2C2581B4">
      <w:pPr>
        <w:keepNext w:val="0"/>
        <w:keepLines w:val="0"/>
        <w:pageBreakBefore w:val="0"/>
        <w:widowControl w:val="0"/>
        <w:kinsoku/>
        <w:wordWrap/>
        <w:overflowPunct/>
        <w:autoSpaceDN/>
        <w:bidi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奖励依据</w:t>
      </w:r>
    </w:p>
    <w:p w14:paraId="515ED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《东莞滨海湾新区促进“专精特新”企业发展扶持办法》（滨海湾</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〔2023〕12号）第二条【企业认定引进奖励】</w:t>
      </w:r>
      <w:r>
        <w:rPr>
          <w:rFonts w:hint="eastAsia" w:ascii="Times New Roman" w:hAnsi="Times New Roman" w:eastAsia="仿宋_GB2312" w:cs="Times New Roman"/>
          <w:sz w:val="32"/>
          <w:szCs w:val="32"/>
          <w:lang w:eastAsia="zh-CN"/>
        </w:rPr>
        <w:t>。</w:t>
      </w:r>
    </w:p>
    <w:p w14:paraId="55EEA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）申报条件</w:t>
      </w:r>
    </w:p>
    <w:p w14:paraId="68112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于2024年10月1日至发布申报公告之日</w:t>
      </w:r>
      <w:r>
        <w:rPr>
          <w:rFonts w:hint="eastAsia" w:ascii="Times New Roman" w:hAnsi="Times New Roman" w:eastAsia="仿宋_GB2312" w:cs="仿宋_GB2312"/>
          <w:sz w:val="32"/>
          <w:szCs w:val="32"/>
        </w:rPr>
        <w:t>首次通过广东省工业和信息化厅审核，认定为广东省</w:t>
      </w:r>
      <w:r>
        <w:rPr>
          <w:rFonts w:hint="eastAsia" w:ascii="Times New Roman" w:hAnsi="Times New Roman" w:eastAsia="仿宋_GB2312" w:cs="仿宋_GB2312"/>
          <w:sz w:val="32"/>
          <w:szCs w:val="32"/>
          <w:lang w:val="en-US" w:eastAsia="zh-CN"/>
        </w:rPr>
        <w:t>创新型</w:t>
      </w:r>
      <w:r>
        <w:rPr>
          <w:rFonts w:hint="eastAsia" w:ascii="Times New Roman" w:hAnsi="Times New Roman" w:eastAsia="仿宋_GB2312" w:cs="仿宋_GB2312"/>
          <w:sz w:val="32"/>
          <w:szCs w:val="32"/>
        </w:rPr>
        <w:t>中小企业的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并在新区正常开展经营的</w:t>
      </w:r>
      <w:r>
        <w:rPr>
          <w:rFonts w:hint="eastAsia" w:ascii="Times New Roman" w:hAnsi="Times New Roman" w:eastAsia="仿宋_GB2312" w:cs="仿宋_GB2312"/>
          <w:sz w:val="32"/>
          <w:szCs w:val="32"/>
        </w:rPr>
        <w:t>企业。</w:t>
      </w:r>
    </w:p>
    <w:p w14:paraId="350DF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）申报材料</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所有材料均需加盖公章</w:t>
      </w:r>
      <w:r>
        <w:rPr>
          <w:rFonts w:hint="eastAsia" w:ascii="Times New Roman" w:hAnsi="Times New Roman" w:eastAsia="楷体_GB2312" w:cs="楷体_GB2312"/>
          <w:sz w:val="32"/>
          <w:szCs w:val="32"/>
          <w:lang w:eastAsia="zh-CN"/>
        </w:rPr>
        <w:t>）</w:t>
      </w:r>
    </w:p>
    <w:p w14:paraId="2988A292">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w:t>
      </w:r>
      <w:r>
        <w:rPr>
          <w:rFonts w:hint="eastAsia" w:ascii="Times New Roman" w:hAnsi="Times New Roman" w:eastAsia="仿宋_GB2312"/>
          <w:sz w:val="32"/>
          <w:szCs w:val="32"/>
        </w:rPr>
        <w:t>滨海湾新区企业认定奖励申请表</w:t>
      </w:r>
      <w:r>
        <w:rPr>
          <w:rFonts w:hint="eastAsia" w:ascii="仿宋_GB2312" w:hAnsi="仿宋_GB2312" w:eastAsia="仿宋_GB2312" w:cs="仿宋_GB2312"/>
          <w:b w:val="0"/>
          <w:kern w:val="2"/>
          <w:sz w:val="32"/>
          <w:szCs w:val="32"/>
          <w:lang w:val="en-US" w:eastAsia="zh-CN" w:bidi="ar-SA"/>
        </w:rPr>
        <w:t>（详见附件</w:t>
      </w:r>
      <w:r>
        <w:rPr>
          <w:rFonts w:hint="default" w:ascii="Times New Roman" w:hAnsi="Times New Roman" w:eastAsia="仿宋_GB2312" w:cs="Times New Roman"/>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w:t>
      </w:r>
    </w:p>
    <w:p w14:paraId="65F743D1">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rPr>
      </w:pPr>
      <w:r>
        <w:rPr>
          <w:rFonts w:hint="default" w:ascii="Times New Roman" w:hAnsi="Times New Roman" w:eastAsia="仿宋_GB2312" w:cs="Times New Roman"/>
          <w:bCs/>
          <w:color w:val="auto"/>
          <w:kern w:val="2"/>
          <w:sz w:val="32"/>
          <w:szCs w:val="32"/>
          <w:highlight w:val="none"/>
          <w:lang w:val="en-US" w:eastAsia="zh-CN"/>
        </w:rPr>
        <w:t>2.加载统一社会信用代码的营业执照复印件</w:t>
      </w:r>
      <w:r>
        <w:rPr>
          <w:rFonts w:hint="default" w:ascii="Times New Roman" w:hAnsi="Times New Roman" w:eastAsia="仿宋_GB2312" w:cs="Times New Roman"/>
          <w:b w:val="0"/>
          <w:bCs w:val="0"/>
          <w:sz w:val="32"/>
          <w:szCs w:val="32"/>
          <w:lang w:eastAsia="zh-CN"/>
        </w:rPr>
        <w:t>。</w:t>
      </w:r>
    </w:p>
    <w:p w14:paraId="45482830">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Cs/>
          <w:color w:val="auto"/>
          <w:kern w:val="2"/>
          <w:sz w:val="32"/>
          <w:szCs w:val="32"/>
          <w:highlight w:val="none"/>
          <w:vertAlign w:val="baseline"/>
          <w:lang w:val="en-US" w:eastAsia="zh-CN"/>
        </w:rPr>
      </w:pPr>
      <w:r>
        <w:rPr>
          <w:rFonts w:hint="default" w:ascii="Times New Roman" w:hAnsi="Times New Roman" w:eastAsia="仿宋_GB2312" w:cs="Times New Roman"/>
          <w:bCs/>
          <w:color w:val="auto"/>
          <w:kern w:val="2"/>
          <w:sz w:val="32"/>
          <w:szCs w:val="32"/>
          <w:highlight w:val="none"/>
          <w:lang w:val="en-US" w:eastAsia="zh-CN"/>
        </w:rPr>
        <w:t>3.由广东省工信厅发布的广东省创新型中小企业认定公告及企业清单证明</w:t>
      </w:r>
      <w:r>
        <w:rPr>
          <w:rFonts w:hint="default" w:ascii="Times New Roman" w:hAnsi="Times New Roman" w:eastAsia="仿宋_GB2312" w:cs="Times New Roman"/>
          <w:bCs/>
          <w:color w:val="auto"/>
          <w:kern w:val="2"/>
          <w:sz w:val="32"/>
          <w:szCs w:val="32"/>
          <w:highlight w:val="none"/>
          <w:vertAlign w:val="baseline"/>
          <w:lang w:val="en-US" w:eastAsia="zh-CN"/>
        </w:rPr>
        <w:t>。</w:t>
      </w:r>
    </w:p>
    <w:p w14:paraId="5A3C0BC7">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4.</w:t>
      </w:r>
      <w:r>
        <w:rPr>
          <w:rFonts w:hint="default" w:ascii="Times New Roman" w:hAnsi="Times New Roman" w:eastAsia="仿宋_GB2312" w:cs="Times New Roman"/>
          <w:b w:val="0"/>
          <w:kern w:val="2"/>
          <w:sz w:val="32"/>
          <w:szCs w:val="32"/>
          <w:lang w:val="en-US" w:eastAsia="zh-CN" w:bidi="ar-SA"/>
        </w:rPr>
        <w:t>公司信用查询证明（https://www.creditchina.gov.cn/）。</w:t>
      </w:r>
    </w:p>
    <w:p w14:paraId="37590133">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5.</w:t>
      </w:r>
      <w:r>
        <w:rPr>
          <w:rFonts w:hint="default" w:ascii="Times New Roman" w:hAnsi="Times New Roman" w:eastAsia="仿宋_GB2312" w:cs="Times New Roman"/>
          <w:b w:val="0"/>
          <w:kern w:val="2"/>
          <w:sz w:val="32"/>
          <w:szCs w:val="32"/>
          <w:lang w:val="en-US" w:eastAsia="zh-CN" w:bidi="ar-SA"/>
        </w:rPr>
        <w:t>近三年度财务报表（不足三年的，按实际年度提供）。</w:t>
      </w:r>
    </w:p>
    <w:p w14:paraId="3A6F92F1">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6.</w:t>
      </w:r>
      <w:r>
        <w:rPr>
          <w:rFonts w:hint="default" w:ascii="Times New Roman" w:hAnsi="Times New Roman" w:eastAsia="仿宋_GB2312" w:cs="Times New Roman"/>
          <w:b w:val="0"/>
          <w:kern w:val="2"/>
          <w:sz w:val="32"/>
          <w:szCs w:val="32"/>
          <w:lang w:val="en-US" w:eastAsia="zh-CN" w:bidi="ar-SA"/>
        </w:rPr>
        <w:t>税务部门出具的近三年度企业税收完税证明复印件（不足三年的，按实际年度提供）。</w:t>
      </w:r>
    </w:p>
    <w:p w14:paraId="2773136F">
      <w:pPr>
        <w:pStyle w:val="5"/>
        <w:keepNext w:val="0"/>
        <w:keepLines w:val="0"/>
        <w:pageBreakBefore w:val="0"/>
        <w:widowControl w:val="0"/>
        <w:kinsoku/>
        <w:wordWrap/>
        <w:overflowPunct/>
        <w:topLinePunct/>
        <w:autoSpaceDE/>
        <w:autoSpaceDN/>
        <w:bidi w:val="0"/>
        <w:adjustRightInd/>
        <w:snapToGrid/>
        <w:spacing w:line="560" w:lineRule="exact"/>
        <w:ind w:left="0" w:leftChars="0" w:firstLine="800" w:firstLineChars="2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kern w:val="2"/>
          <w:sz w:val="32"/>
          <w:szCs w:val="32"/>
          <w:highlight w:val="none"/>
          <w:lang w:val="en-US" w:eastAsia="zh-CN"/>
        </w:rPr>
        <w:t>7.</w:t>
      </w:r>
      <w:r>
        <w:rPr>
          <w:rFonts w:hint="default" w:ascii="Times New Roman" w:hAnsi="Times New Roman" w:eastAsia="仿宋_GB2312" w:cs="Times New Roman"/>
          <w:b w:val="0"/>
          <w:kern w:val="2"/>
          <w:sz w:val="32"/>
          <w:szCs w:val="32"/>
          <w:lang w:val="en-US" w:eastAsia="zh-CN" w:bidi="ar-SA"/>
        </w:rPr>
        <w:t>广东省电子税务局网站近三年纳税申报截图。</w:t>
      </w:r>
    </w:p>
    <w:p w14:paraId="17300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四</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奖励</w:t>
      </w:r>
      <w:r>
        <w:rPr>
          <w:rFonts w:hint="eastAsia" w:ascii="Times New Roman" w:hAnsi="Times New Roman" w:eastAsia="楷体_GB2312" w:cs="楷体_GB2312"/>
          <w:sz w:val="32"/>
          <w:szCs w:val="32"/>
        </w:rPr>
        <w:t>标准</w:t>
      </w:r>
    </w:p>
    <w:p w14:paraId="033F6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给予每家企业一次性</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万元奖励。</w:t>
      </w:r>
    </w:p>
    <w:p w14:paraId="08F7E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eastAsia="zh-CN"/>
        </w:rPr>
        <w:t>二、广东省专精特新中小企业（简称省级“专精特新”企业）认定奖励</w:t>
      </w:r>
    </w:p>
    <w:p w14:paraId="000F0F9F">
      <w:pPr>
        <w:keepNext w:val="0"/>
        <w:keepLines w:val="0"/>
        <w:pageBreakBefore w:val="0"/>
        <w:widowControl w:val="0"/>
        <w:kinsoku/>
        <w:wordWrap/>
        <w:overflowPunct/>
        <w:autoSpaceDN/>
        <w:bidi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奖励依据</w:t>
      </w:r>
    </w:p>
    <w:p w14:paraId="4D395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《东莞滨海湾新区促进“专精特新”企业发展扶持办法》（滨海湾</w:t>
      </w:r>
      <w:r>
        <w:rPr>
          <w:rFonts w:hint="eastAsia" w:ascii="Times New Roman" w:hAnsi="Times New Roman" w:eastAsia="仿宋_GB2312" w:cs="Times New Roman"/>
          <w:sz w:val="32"/>
          <w:szCs w:val="32"/>
          <w:lang w:val="en-US" w:eastAsia="zh-CN"/>
        </w:rPr>
        <w:t>发</w:t>
      </w:r>
      <w:bookmarkStart w:id="0" w:name="_GoBack"/>
      <w:bookmarkEnd w:id="0"/>
      <w:r>
        <w:rPr>
          <w:rFonts w:hint="default" w:ascii="Times New Roman" w:hAnsi="Times New Roman" w:eastAsia="仿宋_GB2312" w:cs="Times New Roman"/>
          <w:sz w:val="32"/>
          <w:szCs w:val="32"/>
        </w:rPr>
        <w:t>〔2023〕12号）第二条【企业认定引进奖励】</w:t>
      </w:r>
      <w:r>
        <w:rPr>
          <w:rFonts w:hint="eastAsia" w:ascii="Times New Roman" w:hAnsi="Times New Roman" w:eastAsia="仿宋_GB2312" w:cs="Times New Roman"/>
          <w:sz w:val="32"/>
          <w:szCs w:val="32"/>
          <w:lang w:eastAsia="zh-CN"/>
        </w:rPr>
        <w:t>。</w:t>
      </w:r>
    </w:p>
    <w:p w14:paraId="520D4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）申报条件</w:t>
      </w:r>
    </w:p>
    <w:p w14:paraId="26DFC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lang w:val="en-US" w:eastAsia="zh-CN"/>
        </w:rPr>
        <w:t>于2024年10月1日至发布申报公告之日</w:t>
      </w:r>
      <w:r>
        <w:rPr>
          <w:rFonts w:hint="eastAsia" w:ascii="Times New Roman" w:hAnsi="Times New Roman" w:eastAsia="仿宋_GB2312"/>
          <w:sz w:val="32"/>
          <w:szCs w:val="32"/>
        </w:rPr>
        <w:t>首次通过</w:t>
      </w:r>
      <w:r>
        <w:rPr>
          <w:rFonts w:hint="eastAsia" w:ascii="Times New Roman" w:hAnsi="Times New Roman" w:eastAsia="仿宋_GB2312"/>
          <w:sz w:val="32"/>
          <w:szCs w:val="32"/>
          <w:lang w:val="en-US" w:eastAsia="zh-CN"/>
        </w:rPr>
        <w:t>广东省工业和信息化厅审核</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认定为广东省</w:t>
      </w:r>
      <w:r>
        <w:rPr>
          <w:rFonts w:hint="eastAsia" w:ascii="Times New Roman" w:hAnsi="Times New Roman" w:eastAsia="仿宋_GB2312"/>
          <w:sz w:val="32"/>
          <w:szCs w:val="32"/>
        </w:rPr>
        <w:t>专精特新中小企业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并在新区正常开展经营的</w:t>
      </w:r>
      <w:r>
        <w:rPr>
          <w:rFonts w:hint="eastAsia" w:ascii="Times New Roman" w:hAnsi="Times New Roman" w:eastAsia="仿宋_GB2312" w:cs="仿宋_GB2312"/>
          <w:sz w:val="32"/>
          <w:szCs w:val="32"/>
        </w:rPr>
        <w:t>企业。</w:t>
      </w:r>
    </w:p>
    <w:p w14:paraId="6FF82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）申报材料</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所有材料均需加盖公章</w:t>
      </w:r>
      <w:r>
        <w:rPr>
          <w:rFonts w:hint="eastAsia" w:ascii="Times New Roman" w:hAnsi="Times New Roman" w:eastAsia="楷体_GB2312" w:cs="楷体_GB2312"/>
          <w:sz w:val="32"/>
          <w:szCs w:val="32"/>
          <w:lang w:eastAsia="zh-CN"/>
        </w:rPr>
        <w:t>）</w:t>
      </w:r>
    </w:p>
    <w:p w14:paraId="3EDCBFAF">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w:t>
      </w:r>
      <w:r>
        <w:rPr>
          <w:rFonts w:hint="eastAsia" w:ascii="Times New Roman" w:hAnsi="Times New Roman" w:eastAsia="仿宋_GB2312"/>
          <w:sz w:val="32"/>
          <w:szCs w:val="32"/>
        </w:rPr>
        <w:t>滨海湾新区企业认定奖励申请表</w:t>
      </w:r>
      <w:r>
        <w:rPr>
          <w:rFonts w:hint="eastAsia" w:ascii="仿宋_GB2312" w:hAnsi="仿宋_GB2312" w:eastAsia="仿宋_GB2312" w:cs="仿宋_GB2312"/>
          <w:b w:val="0"/>
          <w:kern w:val="2"/>
          <w:sz w:val="32"/>
          <w:szCs w:val="32"/>
          <w:lang w:val="en-US" w:eastAsia="zh-CN" w:bidi="ar-SA"/>
        </w:rPr>
        <w:t>（详见附件</w:t>
      </w:r>
      <w:r>
        <w:rPr>
          <w:rFonts w:hint="default" w:ascii="Times New Roman" w:hAnsi="Times New Roman" w:eastAsia="仿宋_GB2312" w:cs="Times New Roman"/>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w:t>
      </w:r>
    </w:p>
    <w:p w14:paraId="6226C52B">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rPr>
      </w:pPr>
      <w:r>
        <w:rPr>
          <w:rFonts w:hint="default" w:ascii="Times New Roman" w:hAnsi="Times New Roman" w:eastAsia="仿宋_GB2312" w:cs="Times New Roman"/>
          <w:bCs/>
          <w:color w:val="auto"/>
          <w:kern w:val="2"/>
          <w:sz w:val="32"/>
          <w:szCs w:val="32"/>
          <w:highlight w:val="none"/>
          <w:lang w:val="en-US" w:eastAsia="zh-CN"/>
        </w:rPr>
        <w:t>2.加载统一社会信用代码的营业执照复印件</w:t>
      </w:r>
      <w:r>
        <w:rPr>
          <w:rFonts w:hint="default" w:ascii="Times New Roman" w:hAnsi="Times New Roman" w:eastAsia="仿宋_GB2312" w:cs="Times New Roman"/>
          <w:b w:val="0"/>
          <w:bCs w:val="0"/>
          <w:sz w:val="32"/>
          <w:szCs w:val="32"/>
          <w:lang w:eastAsia="zh-CN"/>
        </w:rPr>
        <w:t>。</w:t>
      </w:r>
    </w:p>
    <w:p w14:paraId="16739DBF">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Cs/>
          <w:color w:val="auto"/>
          <w:kern w:val="2"/>
          <w:sz w:val="32"/>
          <w:szCs w:val="32"/>
          <w:highlight w:val="none"/>
          <w:vertAlign w:val="baseline"/>
          <w:lang w:val="en-US" w:eastAsia="zh-CN"/>
        </w:rPr>
      </w:pPr>
      <w:r>
        <w:rPr>
          <w:rFonts w:hint="default" w:ascii="Times New Roman" w:hAnsi="Times New Roman" w:eastAsia="仿宋_GB2312" w:cs="Times New Roman"/>
          <w:bCs/>
          <w:color w:val="auto"/>
          <w:kern w:val="2"/>
          <w:sz w:val="32"/>
          <w:szCs w:val="32"/>
          <w:highlight w:val="none"/>
          <w:lang w:val="en-US" w:eastAsia="zh-CN"/>
        </w:rPr>
        <w:t>3.由广东省工信厅发布的</w:t>
      </w:r>
      <w:r>
        <w:rPr>
          <w:rFonts w:hint="eastAsia" w:ascii="Times New Roman" w:hAnsi="Times New Roman" w:eastAsia="仿宋_GB2312" w:cs="Times New Roman"/>
          <w:bCs/>
          <w:color w:val="auto"/>
          <w:kern w:val="2"/>
          <w:sz w:val="32"/>
          <w:szCs w:val="32"/>
          <w:highlight w:val="none"/>
          <w:lang w:val="en-US" w:eastAsia="zh-CN"/>
        </w:rPr>
        <w:t>广东省</w:t>
      </w:r>
      <w:r>
        <w:rPr>
          <w:rFonts w:hint="default" w:ascii="Times New Roman" w:hAnsi="Times New Roman" w:eastAsia="仿宋_GB2312" w:cs="Times New Roman"/>
          <w:bCs/>
          <w:color w:val="auto"/>
          <w:kern w:val="2"/>
          <w:sz w:val="32"/>
          <w:szCs w:val="32"/>
          <w:highlight w:val="none"/>
          <w:lang w:val="en-US" w:eastAsia="zh-CN"/>
        </w:rPr>
        <w:t>专精特新中小企业认定公告及企业清单证明</w:t>
      </w:r>
      <w:r>
        <w:rPr>
          <w:rFonts w:hint="default" w:ascii="Times New Roman" w:hAnsi="Times New Roman" w:eastAsia="仿宋_GB2312" w:cs="Times New Roman"/>
          <w:bCs/>
          <w:color w:val="auto"/>
          <w:kern w:val="2"/>
          <w:sz w:val="32"/>
          <w:szCs w:val="32"/>
          <w:highlight w:val="none"/>
          <w:vertAlign w:val="baseline"/>
          <w:lang w:val="en-US" w:eastAsia="zh-CN"/>
        </w:rPr>
        <w:t>。</w:t>
      </w:r>
    </w:p>
    <w:p w14:paraId="2E206D2A">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4.</w:t>
      </w:r>
      <w:r>
        <w:rPr>
          <w:rFonts w:hint="default" w:ascii="Times New Roman" w:hAnsi="Times New Roman" w:eastAsia="仿宋_GB2312" w:cs="Times New Roman"/>
          <w:b w:val="0"/>
          <w:kern w:val="2"/>
          <w:sz w:val="32"/>
          <w:szCs w:val="32"/>
          <w:lang w:val="en-US" w:eastAsia="zh-CN" w:bidi="ar-SA"/>
        </w:rPr>
        <w:t>公司信用查询证明（https://www.creditchina.gov.cn/）。</w:t>
      </w:r>
    </w:p>
    <w:p w14:paraId="674BACAD">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5.</w:t>
      </w:r>
      <w:r>
        <w:rPr>
          <w:rFonts w:hint="default" w:ascii="Times New Roman" w:hAnsi="Times New Roman" w:eastAsia="仿宋_GB2312" w:cs="Times New Roman"/>
          <w:b w:val="0"/>
          <w:kern w:val="2"/>
          <w:sz w:val="32"/>
          <w:szCs w:val="32"/>
          <w:lang w:val="en-US" w:eastAsia="zh-CN" w:bidi="ar-SA"/>
        </w:rPr>
        <w:t>近三年度财务报表（不足三年的，按实际年度提供）。</w:t>
      </w:r>
    </w:p>
    <w:p w14:paraId="0FF6404D">
      <w:pPr>
        <w:keepNext w:val="0"/>
        <w:keepLines w:val="0"/>
        <w:pageBreakBefore w:val="0"/>
        <w:widowControl w:val="0"/>
        <w:kinsoku/>
        <w:wordWrap/>
        <w:overflowPunct/>
        <w:autoSpaceDN/>
        <w:bidi w:val="0"/>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Cs/>
          <w:color w:val="auto"/>
          <w:kern w:val="2"/>
          <w:sz w:val="32"/>
          <w:szCs w:val="32"/>
          <w:highlight w:val="none"/>
          <w:lang w:val="en-US" w:eastAsia="zh-CN"/>
        </w:rPr>
        <w:t>6.</w:t>
      </w:r>
      <w:r>
        <w:rPr>
          <w:rFonts w:hint="default" w:ascii="Times New Roman" w:hAnsi="Times New Roman" w:eastAsia="仿宋_GB2312" w:cs="Times New Roman"/>
          <w:b w:val="0"/>
          <w:kern w:val="2"/>
          <w:sz w:val="32"/>
          <w:szCs w:val="32"/>
          <w:lang w:val="en-US" w:eastAsia="zh-CN" w:bidi="ar-SA"/>
        </w:rPr>
        <w:t>税务部门出具的近三年度企业税收完税证明复印件（不足三年的，按实际年度提供）。</w:t>
      </w:r>
    </w:p>
    <w:p w14:paraId="2550CA19">
      <w:pPr>
        <w:pStyle w:val="5"/>
        <w:keepNext w:val="0"/>
        <w:keepLines w:val="0"/>
        <w:pageBreakBefore w:val="0"/>
        <w:widowControl w:val="0"/>
        <w:kinsoku/>
        <w:wordWrap/>
        <w:overflowPunct/>
        <w:topLinePunct/>
        <w:autoSpaceDE/>
        <w:autoSpaceDN/>
        <w:bidi w:val="0"/>
        <w:adjustRightInd/>
        <w:snapToGrid/>
        <w:spacing w:line="560" w:lineRule="exact"/>
        <w:ind w:left="0" w:leftChars="0" w:firstLine="800" w:firstLineChars="250"/>
        <w:textAlignment w:val="auto"/>
        <w:rPr>
          <w:rFonts w:ascii="Times New Roman" w:hAnsi="Times New Roman" w:eastAsia="仿宋_GB2312"/>
          <w:sz w:val="32"/>
          <w:szCs w:val="32"/>
        </w:rPr>
      </w:pPr>
      <w:r>
        <w:rPr>
          <w:rFonts w:hint="default" w:ascii="Times New Roman" w:hAnsi="Times New Roman" w:eastAsia="仿宋_GB2312" w:cs="Times New Roman"/>
          <w:bCs/>
          <w:color w:val="auto"/>
          <w:kern w:val="2"/>
          <w:sz w:val="32"/>
          <w:szCs w:val="32"/>
          <w:highlight w:val="none"/>
          <w:lang w:val="en-US" w:eastAsia="zh-CN"/>
        </w:rPr>
        <w:t>7.</w:t>
      </w:r>
      <w:r>
        <w:rPr>
          <w:rFonts w:hint="default" w:ascii="Times New Roman" w:hAnsi="Times New Roman" w:eastAsia="仿宋_GB2312" w:cs="Times New Roman"/>
          <w:b w:val="0"/>
          <w:kern w:val="2"/>
          <w:sz w:val="32"/>
          <w:szCs w:val="32"/>
          <w:lang w:val="en-US" w:eastAsia="zh-CN" w:bidi="ar-SA"/>
        </w:rPr>
        <w:t>广东省电子税务局网站近三年纳税申报截图。</w:t>
      </w:r>
    </w:p>
    <w:p w14:paraId="63232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四</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奖励</w:t>
      </w:r>
      <w:r>
        <w:rPr>
          <w:rFonts w:hint="eastAsia" w:ascii="Times New Roman" w:hAnsi="Times New Roman" w:eastAsia="楷体_GB2312" w:cs="楷体_GB2312"/>
          <w:sz w:val="32"/>
          <w:szCs w:val="32"/>
        </w:rPr>
        <w:t>标准</w:t>
      </w:r>
    </w:p>
    <w:p w14:paraId="525D8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val="en-US" w:eastAsia="zh-CN"/>
        </w:rPr>
        <w:t>按照“从高不重复享受奖补政策”的规定，</w:t>
      </w:r>
      <w:r>
        <w:rPr>
          <w:rFonts w:hint="eastAsia" w:ascii="Times New Roman" w:hAnsi="Times New Roman" w:eastAsia="仿宋_GB2312"/>
          <w:sz w:val="32"/>
          <w:szCs w:val="32"/>
          <w:lang w:val="en-US" w:eastAsia="zh-CN"/>
        </w:rPr>
        <w:t>若企业</w:t>
      </w:r>
      <w:r>
        <w:rPr>
          <w:rFonts w:hint="default" w:ascii="Times New Roman" w:hAnsi="Times New Roman" w:eastAsia="仿宋_GB2312"/>
          <w:sz w:val="32"/>
          <w:szCs w:val="32"/>
          <w:lang w:val="en-US" w:eastAsia="zh-CN"/>
        </w:rPr>
        <w:t>未获得</w:t>
      </w:r>
      <w:r>
        <w:rPr>
          <w:rFonts w:hint="eastAsia" w:ascii="Times New Roman" w:hAnsi="Times New Roman" w:eastAsia="仿宋_GB2312"/>
          <w:sz w:val="32"/>
          <w:szCs w:val="32"/>
          <w:lang w:val="en-US" w:eastAsia="zh-CN"/>
        </w:rPr>
        <w:t>过市级“专精特新”企业认定</w:t>
      </w:r>
      <w:r>
        <w:rPr>
          <w:rFonts w:hint="default" w:ascii="Times New Roman" w:hAnsi="Times New Roman" w:eastAsia="仿宋_GB2312"/>
          <w:sz w:val="32"/>
          <w:szCs w:val="32"/>
          <w:lang w:val="en-US" w:eastAsia="zh-CN"/>
        </w:rPr>
        <w:t>奖励</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给予每家企业一次性</w:t>
      </w:r>
      <w:r>
        <w:rPr>
          <w:rFonts w:hint="eastAsia" w:ascii="Times New Roman" w:hAnsi="Times New Roman" w:eastAsia="仿宋_GB2312"/>
          <w:sz w:val="32"/>
          <w:szCs w:val="32"/>
          <w:lang w:val="en-US" w:eastAsia="zh-CN"/>
        </w:rPr>
        <w:t>20</w:t>
      </w:r>
      <w:r>
        <w:rPr>
          <w:rFonts w:hint="default" w:ascii="Times New Roman" w:hAnsi="Times New Roman" w:eastAsia="仿宋_GB2312"/>
          <w:sz w:val="32"/>
          <w:szCs w:val="32"/>
          <w:lang w:val="en-US" w:eastAsia="zh-CN"/>
        </w:rPr>
        <w:t>万元奖励；</w:t>
      </w:r>
      <w:r>
        <w:rPr>
          <w:rFonts w:hint="eastAsia" w:ascii="Times New Roman" w:hAnsi="Times New Roman" w:eastAsia="仿宋_GB2312"/>
          <w:sz w:val="32"/>
          <w:szCs w:val="32"/>
          <w:lang w:val="en-US" w:eastAsia="zh-CN"/>
        </w:rPr>
        <w:t>若</w:t>
      </w:r>
      <w:r>
        <w:rPr>
          <w:rFonts w:hint="default" w:ascii="Times New Roman" w:hAnsi="Times New Roman" w:eastAsia="仿宋_GB2312"/>
          <w:sz w:val="32"/>
          <w:szCs w:val="32"/>
          <w:lang w:val="en-US" w:eastAsia="zh-CN"/>
        </w:rPr>
        <w:t>已获得过</w:t>
      </w:r>
      <w:r>
        <w:rPr>
          <w:rFonts w:hint="eastAsia" w:ascii="Times New Roman" w:hAnsi="Times New Roman" w:eastAsia="仿宋_GB2312"/>
          <w:sz w:val="32"/>
          <w:szCs w:val="32"/>
          <w:lang w:val="en-US" w:eastAsia="zh-CN"/>
        </w:rPr>
        <w:t>市级“专精特新”企业认定</w:t>
      </w:r>
      <w:r>
        <w:rPr>
          <w:rFonts w:hint="default" w:ascii="Times New Roman" w:hAnsi="Times New Roman" w:eastAsia="仿宋_GB2312"/>
          <w:sz w:val="32"/>
          <w:szCs w:val="32"/>
          <w:lang w:val="en-US" w:eastAsia="zh-CN"/>
        </w:rPr>
        <w:t>奖励，每家</w:t>
      </w:r>
      <w:r>
        <w:rPr>
          <w:rFonts w:hint="eastAsia" w:ascii="Times New Roman" w:hAnsi="Times New Roman" w:eastAsia="仿宋_GB2312"/>
          <w:sz w:val="32"/>
          <w:szCs w:val="32"/>
          <w:lang w:val="en-US" w:eastAsia="zh-CN"/>
        </w:rPr>
        <w:t>企业</w:t>
      </w:r>
      <w:r>
        <w:rPr>
          <w:rFonts w:hint="default" w:ascii="Times New Roman" w:hAnsi="Times New Roman" w:eastAsia="仿宋_GB2312"/>
          <w:sz w:val="32"/>
          <w:szCs w:val="32"/>
          <w:lang w:val="en-US" w:eastAsia="zh-CN"/>
        </w:rPr>
        <w:t>按照奖励标准差额进行一次性奖励</w:t>
      </w:r>
      <w:r>
        <w:rPr>
          <w:rFonts w:hint="eastAsia" w:ascii="Times New Roman" w:hAnsi="Times New Roman" w:eastAsia="仿宋_GB2312"/>
          <w:sz w:val="32"/>
          <w:szCs w:val="32"/>
          <w:lang w:val="en-US" w:eastAsia="zh-CN"/>
        </w:rPr>
        <w:t>（即15万元）</w:t>
      </w:r>
      <w:r>
        <w:rPr>
          <w:rFonts w:hint="default" w:ascii="Times New Roman" w:hAnsi="Times New Roman" w:eastAsia="仿宋_GB2312"/>
          <w:sz w:val="32"/>
          <w:szCs w:val="32"/>
          <w:lang w:val="en-US" w:eastAsia="zh-CN"/>
        </w:rPr>
        <w:t>。</w:t>
      </w:r>
    </w:p>
    <w:p w14:paraId="5A5CD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p>
    <w:p w14:paraId="7E6F97EC">
      <w:pPr>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ADE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0DF1A">
                          <w:pPr>
                            <w:pStyle w:val="6"/>
                          </w:pPr>
                          <w: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F0DF1A">
                    <w:pPr>
                      <w:pStyle w:val="6"/>
                    </w:pPr>
                    <w: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pStyle w:val="2"/>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37831C7"/>
    <w:rsid w:val="07673BC3"/>
    <w:rsid w:val="0B801765"/>
    <w:rsid w:val="116A163A"/>
    <w:rsid w:val="16CA641B"/>
    <w:rsid w:val="18856718"/>
    <w:rsid w:val="1B177F6E"/>
    <w:rsid w:val="1DDB0ECC"/>
    <w:rsid w:val="1EF36772"/>
    <w:rsid w:val="30944F70"/>
    <w:rsid w:val="319875B6"/>
    <w:rsid w:val="31A319F1"/>
    <w:rsid w:val="35D476EA"/>
    <w:rsid w:val="3A327232"/>
    <w:rsid w:val="496F58D1"/>
    <w:rsid w:val="49DF3D41"/>
    <w:rsid w:val="571F0708"/>
    <w:rsid w:val="599B1BE5"/>
    <w:rsid w:val="5FEC0DC7"/>
    <w:rsid w:val="61A562FE"/>
    <w:rsid w:val="64391225"/>
    <w:rsid w:val="74C913E2"/>
    <w:rsid w:val="760E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方正小标宋简体" w:hAnsi="方正小标宋简体" w:eastAsia="方正小标宋简体" w:cs="方正小标宋简体"/>
      <w:szCs w:val="21"/>
    </w:r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0"/>
    <w:pPr>
      <w:topLinePunct/>
      <w:ind w:firstLine="560" w:firstLineChars="200"/>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widowControl/>
      <w:spacing w:line="480" w:lineRule="exact"/>
      <w:ind w:left="850" w:leftChars="217" w:hanging="394" w:hangingChars="164"/>
      <w:jc w:val="left"/>
    </w:pPr>
    <w:rPr>
      <w:kern w:val="0"/>
      <w:sz w:val="22"/>
    </w:rPr>
  </w:style>
  <w:style w:type="paragraph" w:styleId="9">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1812</Words>
  <Characters>1843</Characters>
  <Lines>0</Lines>
  <Paragraphs>0</Paragraphs>
  <TotalTime>0</TotalTime>
  <ScaleCrop>false</ScaleCrop>
  <LinksUpToDate>false</LinksUpToDate>
  <CharactersWithSpaces>1844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2023-03-08T13:05:00Z</dcterms:created>
  <dc:creator>pc</dc:creator>
  <cp:lastModifiedBy>演示人</cp:lastModifiedBy>
  <cp:lastPrinted>2024-09-24T01:57:00Z</cp:lastPrinted>
  <dcterms:modified xsi:type="dcterms:W3CDTF">2025-09-16T07:04:54Z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463C014E21E849F683A1E6EBA6900C38</vt:lpwstr>
  </property>
</Properties>
</file>